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6B2D" w14:textId="77777777" w:rsidR="00095579" w:rsidRDefault="00095579" w:rsidP="00095579">
      <w:pPr>
        <w:pStyle w:val="Tablecaption0"/>
        <w:ind w:left="96"/>
      </w:pPr>
      <w:r>
        <w:t xml:space="preserve">Lisa 1. Hankeleping </w:t>
      </w:r>
      <w:r w:rsidRPr="00825E42">
        <w:rPr>
          <w:b w:val="0"/>
          <w:bCs w:val="0"/>
          <w:i/>
          <w:iCs/>
        </w:rPr>
        <w:t>projekt</w:t>
      </w:r>
    </w:p>
    <w:p w14:paraId="725F4B0D" w14:textId="77777777" w:rsidR="00095579" w:rsidRDefault="00095579" w:rsidP="00095579">
      <w:pPr>
        <w:pStyle w:val="Tablecaption0"/>
        <w:ind w:left="96"/>
      </w:pP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7110"/>
      </w:tblGrid>
      <w:tr w:rsidR="00095579" w:rsidRPr="00420C1A" w14:paraId="4295F009" w14:textId="77777777" w:rsidTr="008228BC">
        <w:tc>
          <w:tcPr>
            <w:tcW w:w="9435" w:type="dxa"/>
            <w:gridSpan w:val="2"/>
            <w:tcBorders>
              <w:top w:val="single" w:sz="4" w:space="0" w:color="auto"/>
              <w:left w:val="single" w:sz="4" w:space="0" w:color="auto"/>
              <w:bottom w:val="single" w:sz="4" w:space="0" w:color="auto"/>
              <w:right w:val="single" w:sz="4" w:space="0" w:color="auto"/>
            </w:tcBorders>
          </w:tcPr>
          <w:p w14:paraId="4CCF2A48" w14:textId="77777777" w:rsidR="00095579" w:rsidRPr="00420C1A" w:rsidRDefault="00095579" w:rsidP="008228BC">
            <w:pPr>
              <w:jc w:val="both"/>
              <w:rPr>
                <w:rFonts w:ascii="Times New Roman" w:hAnsi="Times New Roman"/>
                <w:b/>
              </w:rPr>
            </w:pPr>
            <w:r w:rsidRPr="00420C1A">
              <w:rPr>
                <w:rFonts w:ascii="Times New Roman" w:hAnsi="Times New Roman"/>
                <w:b/>
              </w:rPr>
              <w:t>Poolte andmed</w:t>
            </w:r>
          </w:p>
        </w:tc>
      </w:tr>
      <w:tr w:rsidR="00095579" w:rsidRPr="00420C1A" w14:paraId="7DE8ECBF" w14:textId="77777777" w:rsidTr="008228BC">
        <w:tc>
          <w:tcPr>
            <w:tcW w:w="2325" w:type="dxa"/>
            <w:tcBorders>
              <w:top w:val="single" w:sz="4" w:space="0" w:color="auto"/>
            </w:tcBorders>
          </w:tcPr>
          <w:p w14:paraId="0D2667FB" w14:textId="77777777" w:rsidR="00095579" w:rsidRPr="00420C1A" w:rsidRDefault="00095579" w:rsidP="008228BC">
            <w:pPr>
              <w:jc w:val="both"/>
              <w:rPr>
                <w:rFonts w:ascii="Times New Roman" w:hAnsi="Times New Roman"/>
                <w:b/>
              </w:rPr>
            </w:pPr>
            <w:r w:rsidRPr="00420C1A">
              <w:rPr>
                <w:rFonts w:ascii="Times New Roman" w:hAnsi="Times New Roman"/>
                <w:b/>
              </w:rPr>
              <w:t>Tellija</w:t>
            </w:r>
          </w:p>
        </w:tc>
        <w:tc>
          <w:tcPr>
            <w:tcW w:w="7110" w:type="dxa"/>
            <w:tcBorders>
              <w:top w:val="single" w:sz="4" w:space="0" w:color="auto"/>
            </w:tcBorders>
          </w:tcPr>
          <w:p w14:paraId="156FD271" w14:textId="77777777" w:rsidR="00095579" w:rsidRPr="00420C1A" w:rsidRDefault="00095579" w:rsidP="008228BC">
            <w:pPr>
              <w:jc w:val="both"/>
              <w:rPr>
                <w:rFonts w:ascii="Times New Roman" w:hAnsi="Times New Roman"/>
                <w:b/>
              </w:rPr>
            </w:pPr>
            <w:r w:rsidRPr="00420C1A">
              <w:rPr>
                <w:rFonts w:ascii="Times New Roman" w:hAnsi="Times New Roman"/>
                <w:b/>
              </w:rPr>
              <w:t>Siseministeeriumi infotehnoloogia- ja arenduskeskus</w:t>
            </w:r>
          </w:p>
        </w:tc>
      </w:tr>
      <w:tr w:rsidR="00095579" w:rsidRPr="00420C1A" w14:paraId="15B022CB" w14:textId="77777777" w:rsidTr="008228BC">
        <w:tc>
          <w:tcPr>
            <w:tcW w:w="2325" w:type="dxa"/>
          </w:tcPr>
          <w:p w14:paraId="6BCF6853" w14:textId="77777777" w:rsidR="00095579" w:rsidRPr="00420C1A" w:rsidRDefault="00095579" w:rsidP="008228BC">
            <w:pPr>
              <w:jc w:val="both"/>
              <w:rPr>
                <w:rFonts w:ascii="Times New Roman" w:hAnsi="Times New Roman"/>
              </w:rPr>
            </w:pPr>
            <w:r w:rsidRPr="00420C1A">
              <w:rPr>
                <w:rFonts w:ascii="Times New Roman" w:hAnsi="Times New Roman"/>
              </w:rPr>
              <w:t>Registrikood</w:t>
            </w:r>
          </w:p>
        </w:tc>
        <w:tc>
          <w:tcPr>
            <w:tcW w:w="7110" w:type="dxa"/>
          </w:tcPr>
          <w:p w14:paraId="0EE22B9F" w14:textId="77777777" w:rsidR="00095579" w:rsidRPr="00420C1A" w:rsidRDefault="00095579" w:rsidP="008228BC">
            <w:pPr>
              <w:jc w:val="both"/>
              <w:rPr>
                <w:rFonts w:ascii="Times New Roman" w:hAnsi="Times New Roman"/>
              </w:rPr>
            </w:pPr>
            <w:r w:rsidRPr="00420C1A">
              <w:rPr>
                <w:rFonts w:ascii="Times New Roman" w:hAnsi="Times New Roman"/>
              </w:rPr>
              <w:t>70008440</w:t>
            </w:r>
          </w:p>
        </w:tc>
      </w:tr>
      <w:tr w:rsidR="00095579" w:rsidRPr="00420C1A" w14:paraId="290E3977" w14:textId="77777777" w:rsidTr="008228BC">
        <w:tc>
          <w:tcPr>
            <w:tcW w:w="2325" w:type="dxa"/>
          </w:tcPr>
          <w:p w14:paraId="213389C8" w14:textId="77777777" w:rsidR="00095579" w:rsidRPr="00420C1A" w:rsidRDefault="00095579" w:rsidP="008228BC">
            <w:pPr>
              <w:jc w:val="both"/>
              <w:rPr>
                <w:rFonts w:ascii="Times New Roman" w:hAnsi="Times New Roman"/>
              </w:rPr>
            </w:pPr>
            <w:r w:rsidRPr="00420C1A">
              <w:rPr>
                <w:rFonts w:ascii="Times New Roman" w:hAnsi="Times New Roman"/>
              </w:rPr>
              <w:t>Aadress</w:t>
            </w:r>
          </w:p>
        </w:tc>
        <w:tc>
          <w:tcPr>
            <w:tcW w:w="7110" w:type="dxa"/>
          </w:tcPr>
          <w:p w14:paraId="513994CC" w14:textId="77777777" w:rsidR="00095579" w:rsidRPr="00420C1A" w:rsidRDefault="00095579" w:rsidP="008228BC">
            <w:pPr>
              <w:jc w:val="both"/>
              <w:rPr>
                <w:rFonts w:ascii="Times New Roman" w:hAnsi="Times New Roman"/>
              </w:rPr>
            </w:pPr>
            <w:r w:rsidRPr="00420C1A">
              <w:rPr>
                <w:rFonts w:ascii="Times New Roman" w:hAnsi="Times New Roman"/>
              </w:rPr>
              <w:t>Mäealuse 2</w:t>
            </w:r>
            <w:r>
              <w:rPr>
                <w:rFonts w:ascii="Times New Roman" w:hAnsi="Times New Roman"/>
              </w:rPr>
              <w:t>/2</w:t>
            </w:r>
            <w:r w:rsidRPr="00420C1A">
              <w:rPr>
                <w:rFonts w:ascii="Times New Roman" w:hAnsi="Times New Roman"/>
              </w:rPr>
              <w:t>, 12618 Tallinn</w:t>
            </w:r>
          </w:p>
        </w:tc>
      </w:tr>
      <w:tr w:rsidR="00095579" w:rsidRPr="00420C1A" w14:paraId="450ECD19" w14:textId="77777777" w:rsidTr="008228BC">
        <w:tc>
          <w:tcPr>
            <w:tcW w:w="2325" w:type="dxa"/>
          </w:tcPr>
          <w:p w14:paraId="21BF5E87" w14:textId="77777777" w:rsidR="00095579" w:rsidRPr="00420C1A" w:rsidRDefault="00095579" w:rsidP="008228BC">
            <w:pPr>
              <w:jc w:val="both"/>
              <w:rPr>
                <w:rFonts w:ascii="Times New Roman" w:hAnsi="Times New Roman"/>
              </w:rPr>
            </w:pPr>
            <w:r w:rsidRPr="00420C1A">
              <w:rPr>
                <w:rFonts w:ascii="Times New Roman" w:hAnsi="Times New Roman"/>
              </w:rPr>
              <w:t>Tellija esindaja</w:t>
            </w:r>
          </w:p>
        </w:tc>
        <w:tc>
          <w:tcPr>
            <w:tcW w:w="7110" w:type="dxa"/>
          </w:tcPr>
          <w:p w14:paraId="459A21C8" w14:textId="77777777" w:rsidR="00095579" w:rsidRPr="00420C1A" w:rsidRDefault="00095579" w:rsidP="008228BC">
            <w:pPr>
              <w:jc w:val="both"/>
              <w:rPr>
                <w:rFonts w:ascii="Times New Roman" w:hAnsi="Times New Roman"/>
              </w:rPr>
            </w:pPr>
          </w:p>
        </w:tc>
      </w:tr>
      <w:tr w:rsidR="00095579" w:rsidRPr="000F0381" w14:paraId="51B57A97" w14:textId="77777777" w:rsidTr="008228BC">
        <w:tc>
          <w:tcPr>
            <w:tcW w:w="2325" w:type="dxa"/>
          </w:tcPr>
          <w:p w14:paraId="63DF10F2" w14:textId="77777777" w:rsidR="00095579" w:rsidRPr="00420C1A" w:rsidRDefault="00095579" w:rsidP="008228BC">
            <w:pPr>
              <w:jc w:val="both"/>
              <w:rPr>
                <w:rFonts w:ascii="Times New Roman" w:hAnsi="Times New Roman"/>
              </w:rPr>
            </w:pPr>
            <w:r w:rsidRPr="00420C1A">
              <w:rPr>
                <w:rFonts w:ascii="Times New Roman" w:hAnsi="Times New Roman"/>
              </w:rPr>
              <w:t>Esinduse alus</w:t>
            </w:r>
          </w:p>
        </w:tc>
        <w:tc>
          <w:tcPr>
            <w:tcW w:w="7110" w:type="dxa"/>
          </w:tcPr>
          <w:p w14:paraId="7F99FE15" w14:textId="77777777" w:rsidR="00095579" w:rsidRPr="000F0381" w:rsidRDefault="00095579" w:rsidP="008228BC">
            <w:pPr>
              <w:jc w:val="both"/>
              <w:rPr>
                <w:rFonts w:ascii="Times New Roman" w:hAnsi="Times New Roman"/>
                <w:i/>
              </w:rPr>
            </w:pPr>
            <w:r w:rsidRPr="000F0381">
              <w:rPr>
                <w:rFonts w:ascii="Times New Roman" w:hAnsi="Times New Roman"/>
                <w:i/>
              </w:rPr>
              <w:t>Põhimäärus/volik</w:t>
            </w:r>
            <w:r>
              <w:rPr>
                <w:rFonts w:ascii="Times New Roman" w:hAnsi="Times New Roman"/>
                <w:i/>
              </w:rPr>
              <w:t>iri</w:t>
            </w:r>
          </w:p>
        </w:tc>
      </w:tr>
      <w:tr w:rsidR="00095579" w:rsidRPr="006C0847" w14:paraId="4AB9C649" w14:textId="77777777" w:rsidTr="008228BC">
        <w:tc>
          <w:tcPr>
            <w:tcW w:w="2325" w:type="dxa"/>
            <w:tcBorders>
              <w:bottom w:val="single" w:sz="4" w:space="0" w:color="auto"/>
            </w:tcBorders>
          </w:tcPr>
          <w:p w14:paraId="3A2CE293" w14:textId="77777777" w:rsidR="00095579" w:rsidRPr="00420C1A" w:rsidRDefault="00095579" w:rsidP="008228BC">
            <w:pPr>
              <w:jc w:val="both"/>
              <w:rPr>
                <w:rFonts w:ascii="Times New Roman" w:hAnsi="Times New Roman"/>
              </w:rPr>
            </w:pPr>
            <w:r w:rsidRPr="00420C1A">
              <w:rPr>
                <w:rFonts w:ascii="Times New Roman" w:hAnsi="Times New Roman"/>
              </w:rPr>
              <w:t>Kontaktisikud</w:t>
            </w:r>
          </w:p>
        </w:tc>
        <w:tc>
          <w:tcPr>
            <w:tcW w:w="7110" w:type="dxa"/>
            <w:tcBorders>
              <w:bottom w:val="single" w:sz="4" w:space="0" w:color="auto"/>
            </w:tcBorders>
          </w:tcPr>
          <w:p w14:paraId="1E081583" w14:textId="41893338" w:rsidR="00095579" w:rsidRDefault="00095579" w:rsidP="00523169">
            <w:pPr>
              <w:pStyle w:val="Loendilik"/>
              <w:numPr>
                <w:ilvl w:val="0"/>
                <w:numId w:val="2"/>
              </w:numPr>
              <w:jc w:val="both"/>
              <w:rPr>
                <w:rFonts w:ascii="Times New Roman" w:hAnsi="Times New Roman"/>
                <w:iCs/>
              </w:rPr>
            </w:pPr>
            <w:r w:rsidRPr="006C0847">
              <w:rPr>
                <w:rFonts w:ascii="Times New Roman" w:hAnsi="Times New Roman"/>
                <w:iCs/>
              </w:rPr>
              <w:t>Silver Metsatsirk,</w:t>
            </w:r>
            <w:r>
              <w:rPr>
                <w:rFonts w:ascii="Times New Roman" w:hAnsi="Times New Roman"/>
                <w:iCs/>
              </w:rPr>
              <w:t xml:space="preserve"> tarkvarahaldur,</w:t>
            </w:r>
            <w:r w:rsidRPr="006C0847">
              <w:rPr>
                <w:rFonts w:ascii="Times New Roman" w:hAnsi="Times New Roman"/>
                <w:iCs/>
              </w:rPr>
              <w:t xml:space="preserve"> </w:t>
            </w:r>
            <w:hyperlink r:id="rId5" w:history="1">
              <w:r w:rsidRPr="006C0847">
                <w:rPr>
                  <w:rStyle w:val="Hperlink"/>
                  <w:rFonts w:ascii="Times New Roman" w:hAnsi="Times New Roman"/>
                  <w:iCs/>
                </w:rPr>
                <w:t>Silver.metsatsirk@smit.ee</w:t>
              </w:r>
            </w:hyperlink>
            <w:r w:rsidRPr="006C0847">
              <w:rPr>
                <w:rFonts w:ascii="Times New Roman" w:hAnsi="Times New Roman"/>
                <w:iCs/>
              </w:rPr>
              <w:t>, 5194 9707</w:t>
            </w:r>
            <w:r w:rsidR="00DB5C39">
              <w:rPr>
                <w:rFonts w:ascii="Times New Roman" w:hAnsi="Times New Roman"/>
                <w:iCs/>
              </w:rPr>
              <w:t>, või tema asendaja</w:t>
            </w:r>
            <w:r>
              <w:rPr>
                <w:rFonts w:ascii="Times New Roman" w:hAnsi="Times New Roman"/>
                <w:iCs/>
              </w:rPr>
              <w:t>;</w:t>
            </w:r>
          </w:p>
          <w:p w14:paraId="347BDEBA" w14:textId="60986E10" w:rsidR="00DB5C39" w:rsidRDefault="00523169" w:rsidP="00DB5C39">
            <w:pPr>
              <w:pStyle w:val="Loendilik"/>
              <w:numPr>
                <w:ilvl w:val="0"/>
                <w:numId w:val="2"/>
              </w:numPr>
              <w:jc w:val="both"/>
              <w:rPr>
                <w:rFonts w:ascii="Times New Roman" w:hAnsi="Times New Roman"/>
                <w:iCs/>
              </w:rPr>
            </w:pPr>
            <w:r>
              <w:rPr>
                <w:rFonts w:ascii="Times New Roman" w:hAnsi="Times New Roman"/>
                <w:iCs/>
              </w:rPr>
              <w:t>Mart Järvi, valdkonna peaarhite</w:t>
            </w:r>
            <w:r w:rsidR="00385F51">
              <w:rPr>
                <w:rFonts w:ascii="Times New Roman" w:hAnsi="Times New Roman"/>
                <w:iCs/>
              </w:rPr>
              <w:t>k</w:t>
            </w:r>
            <w:r>
              <w:rPr>
                <w:rFonts w:ascii="Times New Roman" w:hAnsi="Times New Roman"/>
                <w:iCs/>
              </w:rPr>
              <w:t xml:space="preserve">t, </w:t>
            </w:r>
            <w:hyperlink r:id="rId6" w:history="1">
              <w:r w:rsidRPr="00D60AA7">
                <w:rPr>
                  <w:rStyle w:val="Hperlink"/>
                  <w:rFonts w:ascii="Times New Roman" w:hAnsi="Times New Roman"/>
                  <w:iCs/>
                </w:rPr>
                <w:t>mart.jarvi@smit.ee</w:t>
              </w:r>
            </w:hyperlink>
            <w:r>
              <w:rPr>
                <w:rFonts w:ascii="Times New Roman" w:hAnsi="Times New Roman"/>
                <w:iCs/>
              </w:rPr>
              <w:t xml:space="preserve">, </w:t>
            </w:r>
            <w:r w:rsidRPr="00523169">
              <w:rPr>
                <w:rFonts w:ascii="Times New Roman" w:hAnsi="Times New Roman"/>
                <w:iCs/>
              </w:rPr>
              <w:t>518 8806</w:t>
            </w:r>
            <w:r w:rsidR="00DB5C39">
              <w:rPr>
                <w:rFonts w:ascii="Times New Roman" w:hAnsi="Times New Roman"/>
                <w:iCs/>
              </w:rPr>
              <w:t xml:space="preserve">, või tema asendaja; </w:t>
            </w:r>
          </w:p>
          <w:p w14:paraId="35F1CEFA" w14:textId="77777777" w:rsidR="00DB5C39" w:rsidRDefault="00DB5C39" w:rsidP="00DB5C39">
            <w:pPr>
              <w:pStyle w:val="Loendilik"/>
              <w:numPr>
                <w:ilvl w:val="0"/>
                <w:numId w:val="2"/>
              </w:numPr>
              <w:jc w:val="both"/>
              <w:rPr>
                <w:rFonts w:ascii="Times New Roman" w:hAnsi="Times New Roman"/>
                <w:iCs/>
              </w:rPr>
            </w:pPr>
            <w:r>
              <w:rPr>
                <w:rFonts w:ascii="Times New Roman" w:hAnsi="Times New Roman"/>
                <w:iCs/>
              </w:rPr>
              <w:t xml:space="preserve">Tarvo Kesküla, juhataja, </w:t>
            </w:r>
            <w:hyperlink r:id="rId7" w:history="1">
              <w:r w:rsidRPr="009C4046">
                <w:rPr>
                  <w:rStyle w:val="Hperlink"/>
                  <w:rFonts w:ascii="Times New Roman" w:hAnsi="Times New Roman"/>
                  <w:iCs/>
                </w:rPr>
                <w:t>tarvo.keskyla@smit.ee</w:t>
              </w:r>
            </w:hyperlink>
            <w:r>
              <w:rPr>
                <w:rFonts w:ascii="Times New Roman" w:hAnsi="Times New Roman"/>
                <w:iCs/>
              </w:rPr>
              <w:t xml:space="preserve">, </w:t>
            </w:r>
            <w:r w:rsidRPr="00DB5C39">
              <w:rPr>
                <w:rFonts w:ascii="Times New Roman" w:hAnsi="Times New Roman"/>
                <w:iCs/>
              </w:rPr>
              <w:t>5348 8008</w:t>
            </w:r>
            <w:r>
              <w:rPr>
                <w:rFonts w:ascii="Times New Roman" w:hAnsi="Times New Roman"/>
                <w:iCs/>
              </w:rPr>
              <w:t xml:space="preserve">, või tema asendaja; </w:t>
            </w:r>
          </w:p>
          <w:p w14:paraId="113F76B5" w14:textId="58BBC141" w:rsidR="00523169" w:rsidRPr="00DB5C39" w:rsidRDefault="00523169" w:rsidP="00DB5C39">
            <w:pPr>
              <w:pStyle w:val="Loendilik"/>
              <w:numPr>
                <w:ilvl w:val="0"/>
                <w:numId w:val="2"/>
              </w:numPr>
              <w:jc w:val="both"/>
              <w:rPr>
                <w:rFonts w:ascii="Times New Roman" w:hAnsi="Times New Roman"/>
                <w:iCs/>
              </w:rPr>
            </w:pPr>
            <w:r w:rsidRPr="00DB5C39">
              <w:rPr>
                <w:rFonts w:ascii="Times New Roman" w:hAnsi="Times New Roman"/>
                <w:iCs/>
              </w:rPr>
              <w:t>…</w:t>
            </w:r>
          </w:p>
        </w:tc>
      </w:tr>
      <w:tr w:rsidR="00095579" w:rsidRPr="00647B1B" w14:paraId="06C87E7A" w14:textId="77777777" w:rsidTr="008228BC">
        <w:tc>
          <w:tcPr>
            <w:tcW w:w="9435" w:type="dxa"/>
            <w:gridSpan w:val="2"/>
            <w:tcBorders>
              <w:top w:val="single" w:sz="4" w:space="0" w:color="auto"/>
              <w:left w:val="single" w:sz="4" w:space="0" w:color="000000"/>
              <w:bottom w:val="single" w:sz="4" w:space="0" w:color="000000"/>
              <w:right w:val="single" w:sz="4" w:space="0" w:color="000000"/>
            </w:tcBorders>
          </w:tcPr>
          <w:p w14:paraId="53F8B1C4" w14:textId="77777777" w:rsidR="00095579" w:rsidRPr="00647B1B" w:rsidRDefault="00095579" w:rsidP="008228BC">
            <w:pPr>
              <w:jc w:val="both"/>
              <w:rPr>
                <w:rFonts w:ascii="Times New Roman" w:hAnsi="Times New Roman"/>
              </w:rPr>
            </w:pPr>
          </w:p>
        </w:tc>
      </w:tr>
      <w:tr w:rsidR="00095579" w:rsidRPr="00420C1A" w14:paraId="52C5CD56" w14:textId="77777777" w:rsidTr="008228BC">
        <w:tc>
          <w:tcPr>
            <w:tcW w:w="2325" w:type="dxa"/>
            <w:tcBorders>
              <w:top w:val="single" w:sz="4" w:space="0" w:color="auto"/>
              <w:left w:val="single" w:sz="4" w:space="0" w:color="000000"/>
              <w:bottom w:val="single" w:sz="4" w:space="0" w:color="000000"/>
              <w:right w:val="single" w:sz="4" w:space="0" w:color="000000"/>
            </w:tcBorders>
          </w:tcPr>
          <w:p w14:paraId="54A8D2BB" w14:textId="77777777" w:rsidR="00095579" w:rsidRPr="00420C1A" w:rsidRDefault="00095579" w:rsidP="008228BC">
            <w:pPr>
              <w:jc w:val="both"/>
              <w:rPr>
                <w:rFonts w:ascii="Times New Roman" w:hAnsi="Times New Roman"/>
                <w:b/>
              </w:rPr>
            </w:pPr>
            <w:r w:rsidRPr="00420C1A">
              <w:rPr>
                <w:rFonts w:ascii="Times New Roman" w:hAnsi="Times New Roman"/>
                <w:b/>
              </w:rPr>
              <w:t>Täitja</w:t>
            </w:r>
          </w:p>
        </w:tc>
        <w:tc>
          <w:tcPr>
            <w:tcW w:w="7110" w:type="dxa"/>
            <w:tcBorders>
              <w:top w:val="single" w:sz="4" w:space="0" w:color="auto"/>
              <w:left w:val="single" w:sz="4" w:space="0" w:color="000000"/>
              <w:bottom w:val="single" w:sz="4" w:space="0" w:color="000000"/>
              <w:right w:val="single" w:sz="4" w:space="0" w:color="000000"/>
            </w:tcBorders>
          </w:tcPr>
          <w:p w14:paraId="6BA9238D" w14:textId="77777777" w:rsidR="00095579" w:rsidRPr="00420C1A" w:rsidRDefault="00095579" w:rsidP="008228BC">
            <w:pPr>
              <w:jc w:val="both"/>
              <w:rPr>
                <w:rFonts w:ascii="Times New Roman" w:hAnsi="Times New Roman"/>
                <w:b/>
                <w:i/>
              </w:rPr>
            </w:pPr>
            <w:r w:rsidRPr="00420C1A">
              <w:rPr>
                <w:rFonts w:ascii="Times New Roman" w:hAnsi="Times New Roman"/>
                <w:b/>
                <w:i/>
              </w:rPr>
              <w:t>OÜ/AS</w:t>
            </w:r>
          </w:p>
        </w:tc>
      </w:tr>
      <w:tr w:rsidR="00095579" w:rsidRPr="00420C1A" w14:paraId="091EA99D" w14:textId="77777777" w:rsidTr="008228BC">
        <w:tc>
          <w:tcPr>
            <w:tcW w:w="2325" w:type="dxa"/>
            <w:tcBorders>
              <w:top w:val="single" w:sz="4" w:space="0" w:color="000000"/>
              <w:left w:val="single" w:sz="4" w:space="0" w:color="000000"/>
              <w:bottom w:val="single" w:sz="4" w:space="0" w:color="000000"/>
              <w:right w:val="single" w:sz="4" w:space="0" w:color="000000"/>
            </w:tcBorders>
            <w:hideMark/>
          </w:tcPr>
          <w:p w14:paraId="0963327D" w14:textId="77777777" w:rsidR="00095579" w:rsidRPr="00420C1A" w:rsidRDefault="00095579" w:rsidP="008228BC">
            <w:pPr>
              <w:jc w:val="both"/>
              <w:rPr>
                <w:rFonts w:ascii="Times New Roman" w:hAnsi="Times New Roman"/>
              </w:rPr>
            </w:pPr>
            <w:r w:rsidRPr="00420C1A">
              <w:rPr>
                <w:rFonts w:ascii="Times New Roman" w:hAnsi="Times New Roman"/>
              </w:rPr>
              <w:t>Registrikood</w:t>
            </w:r>
          </w:p>
        </w:tc>
        <w:tc>
          <w:tcPr>
            <w:tcW w:w="7110" w:type="dxa"/>
            <w:tcBorders>
              <w:top w:val="single" w:sz="4" w:space="0" w:color="000000"/>
              <w:left w:val="single" w:sz="4" w:space="0" w:color="000000"/>
              <w:bottom w:val="single" w:sz="4" w:space="0" w:color="000000"/>
              <w:right w:val="single" w:sz="4" w:space="0" w:color="000000"/>
            </w:tcBorders>
          </w:tcPr>
          <w:p w14:paraId="3D949B82" w14:textId="77777777" w:rsidR="00095579" w:rsidRPr="00420C1A" w:rsidRDefault="00095579" w:rsidP="008228BC">
            <w:pPr>
              <w:jc w:val="both"/>
              <w:rPr>
                <w:rFonts w:ascii="Times New Roman" w:hAnsi="Times New Roman"/>
              </w:rPr>
            </w:pPr>
          </w:p>
        </w:tc>
      </w:tr>
      <w:tr w:rsidR="00095579" w:rsidRPr="00420C1A" w14:paraId="6E05E702" w14:textId="77777777" w:rsidTr="008228BC">
        <w:tc>
          <w:tcPr>
            <w:tcW w:w="2325" w:type="dxa"/>
            <w:tcBorders>
              <w:top w:val="single" w:sz="4" w:space="0" w:color="000000"/>
              <w:left w:val="single" w:sz="4" w:space="0" w:color="000000"/>
              <w:bottom w:val="single" w:sz="4" w:space="0" w:color="000000"/>
              <w:right w:val="single" w:sz="4" w:space="0" w:color="000000"/>
            </w:tcBorders>
            <w:hideMark/>
          </w:tcPr>
          <w:p w14:paraId="785DA846" w14:textId="77777777" w:rsidR="00095579" w:rsidRPr="00420C1A" w:rsidRDefault="00095579" w:rsidP="008228BC">
            <w:pPr>
              <w:jc w:val="both"/>
              <w:rPr>
                <w:rFonts w:ascii="Times New Roman" w:hAnsi="Times New Roman"/>
              </w:rPr>
            </w:pPr>
            <w:r w:rsidRPr="00420C1A">
              <w:rPr>
                <w:rFonts w:ascii="Times New Roman" w:hAnsi="Times New Roman"/>
              </w:rPr>
              <w:t>Aadress</w:t>
            </w:r>
          </w:p>
        </w:tc>
        <w:tc>
          <w:tcPr>
            <w:tcW w:w="7110" w:type="dxa"/>
            <w:tcBorders>
              <w:top w:val="single" w:sz="4" w:space="0" w:color="000000"/>
              <w:left w:val="single" w:sz="4" w:space="0" w:color="000000"/>
              <w:bottom w:val="single" w:sz="4" w:space="0" w:color="000000"/>
              <w:right w:val="single" w:sz="4" w:space="0" w:color="000000"/>
            </w:tcBorders>
          </w:tcPr>
          <w:p w14:paraId="3C0D8722" w14:textId="77777777" w:rsidR="00095579" w:rsidRPr="00420C1A" w:rsidRDefault="00095579" w:rsidP="008228BC">
            <w:pPr>
              <w:jc w:val="both"/>
              <w:rPr>
                <w:rFonts w:ascii="Times New Roman" w:hAnsi="Times New Roman"/>
              </w:rPr>
            </w:pPr>
          </w:p>
        </w:tc>
      </w:tr>
      <w:tr w:rsidR="00095579" w:rsidRPr="00420C1A" w14:paraId="5545795B" w14:textId="77777777" w:rsidTr="008228BC">
        <w:tc>
          <w:tcPr>
            <w:tcW w:w="2325" w:type="dxa"/>
            <w:tcBorders>
              <w:top w:val="single" w:sz="4" w:space="0" w:color="000000"/>
              <w:left w:val="single" w:sz="4" w:space="0" w:color="000000"/>
              <w:bottom w:val="single" w:sz="4" w:space="0" w:color="000000"/>
              <w:right w:val="single" w:sz="4" w:space="0" w:color="000000"/>
            </w:tcBorders>
            <w:hideMark/>
          </w:tcPr>
          <w:p w14:paraId="737C38C0" w14:textId="77777777" w:rsidR="00095579" w:rsidRPr="00420C1A" w:rsidRDefault="00095579" w:rsidP="008228BC">
            <w:pPr>
              <w:jc w:val="both"/>
              <w:rPr>
                <w:rFonts w:ascii="Times New Roman" w:hAnsi="Times New Roman"/>
              </w:rPr>
            </w:pPr>
            <w:r w:rsidRPr="00420C1A">
              <w:rPr>
                <w:rFonts w:ascii="Times New Roman" w:hAnsi="Times New Roman"/>
              </w:rPr>
              <w:t>Täitja esindaja</w:t>
            </w:r>
          </w:p>
        </w:tc>
        <w:tc>
          <w:tcPr>
            <w:tcW w:w="7110" w:type="dxa"/>
            <w:tcBorders>
              <w:top w:val="single" w:sz="4" w:space="0" w:color="000000"/>
              <w:left w:val="single" w:sz="4" w:space="0" w:color="000000"/>
              <w:bottom w:val="single" w:sz="4" w:space="0" w:color="000000"/>
              <w:right w:val="single" w:sz="4" w:space="0" w:color="000000"/>
            </w:tcBorders>
          </w:tcPr>
          <w:p w14:paraId="7F9A15DB" w14:textId="77777777" w:rsidR="00095579" w:rsidRPr="00420C1A" w:rsidRDefault="00095579" w:rsidP="008228BC">
            <w:pPr>
              <w:jc w:val="both"/>
              <w:rPr>
                <w:rFonts w:ascii="Times New Roman" w:hAnsi="Times New Roman"/>
              </w:rPr>
            </w:pPr>
          </w:p>
        </w:tc>
      </w:tr>
      <w:tr w:rsidR="00095579" w:rsidRPr="00420C1A" w14:paraId="0D6BCD25" w14:textId="77777777" w:rsidTr="008228BC">
        <w:tc>
          <w:tcPr>
            <w:tcW w:w="2325" w:type="dxa"/>
            <w:tcBorders>
              <w:top w:val="single" w:sz="4" w:space="0" w:color="000000"/>
              <w:left w:val="single" w:sz="4" w:space="0" w:color="000000"/>
              <w:bottom w:val="single" w:sz="4" w:space="0" w:color="auto"/>
              <w:right w:val="single" w:sz="4" w:space="0" w:color="000000"/>
            </w:tcBorders>
            <w:hideMark/>
          </w:tcPr>
          <w:p w14:paraId="654D6934" w14:textId="77777777" w:rsidR="00095579" w:rsidRPr="00420C1A" w:rsidRDefault="00095579" w:rsidP="008228BC">
            <w:pPr>
              <w:jc w:val="both"/>
              <w:rPr>
                <w:rFonts w:ascii="Times New Roman" w:hAnsi="Times New Roman"/>
              </w:rPr>
            </w:pPr>
            <w:r w:rsidRPr="00420C1A">
              <w:rPr>
                <w:rFonts w:ascii="Times New Roman" w:hAnsi="Times New Roman"/>
              </w:rPr>
              <w:t>Esinduse alus</w:t>
            </w:r>
          </w:p>
        </w:tc>
        <w:tc>
          <w:tcPr>
            <w:tcW w:w="7110" w:type="dxa"/>
            <w:tcBorders>
              <w:top w:val="single" w:sz="4" w:space="0" w:color="000000"/>
              <w:left w:val="single" w:sz="4" w:space="0" w:color="000000"/>
              <w:bottom w:val="single" w:sz="4" w:space="0" w:color="auto"/>
              <w:right w:val="single" w:sz="4" w:space="0" w:color="000000"/>
            </w:tcBorders>
            <w:hideMark/>
          </w:tcPr>
          <w:p w14:paraId="65C9E53A" w14:textId="77777777" w:rsidR="00095579" w:rsidRPr="00420C1A" w:rsidRDefault="00095579" w:rsidP="008228BC">
            <w:pPr>
              <w:jc w:val="both"/>
              <w:rPr>
                <w:rFonts w:ascii="Times New Roman" w:hAnsi="Times New Roman"/>
                <w:i/>
              </w:rPr>
            </w:pPr>
            <w:r w:rsidRPr="00420C1A">
              <w:rPr>
                <w:rFonts w:ascii="Times New Roman" w:hAnsi="Times New Roman"/>
                <w:i/>
              </w:rPr>
              <w:t>Põhikiri/volikiri</w:t>
            </w:r>
          </w:p>
        </w:tc>
      </w:tr>
      <w:tr w:rsidR="00095579" w:rsidRPr="00EA7141" w14:paraId="2C07D5A9" w14:textId="77777777" w:rsidTr="008228BC">
        <w:tc>
          <w:tcPr>
            <w:tcW w:w="2325" w:type="dxa"/>
            <w:tcBorders>
              <w:top w:val="single" w:sz="4" w:space="0" w:color="auto"/>
              <w:left w:val="single" w:sz="4" w:space="0" w:color="auto"/>
              <w:bottom w:val="single" w:sz="4" w:space="0" w:color="auto"/>
              <w:right w:val="single" w:sz="4" w:space="0" w:color="auto"/>
            </w:tcBorders>
            <w:hideMark/>
          </w:tcPr>
          <w:p w14:paraId="7BA9CD91" w14:textId="77777777" w:rsidR="00095579" w:rsidRPr="00420C1A" w:rsidRDefault="00095579" w:rsidP="008228BC">
            <w:pPr>
              <w:jc w:val="both"/>
              <w:rPr>
                <w:rFonts w:ascii="Times New Roman" w:hAnsi="Times New Roman"/>
              </w:rPr>
            </w:pPr>
            <w:r w:rsidRPr="00420C1A">
              <w:rPr>
                <w:rFonts w:ascii="Times New Roman" w:hAnsi="Times New Roman"/>
              </w:rPr>
              <w:t>Kontaktisikud</w:t>
            </w:r>
          </w:p>
        </w:tc>
        <w:tc>
          <w:tcPr>
            <w:tcW w:w="7110" w:type="dxa"/>
            <w:tcBorders>
              <w:top w:val="single" w:sz="4" w:space="0" w:color="auto"/>
              <w:left w:val="single" w:sz="4" w:space="0" w:color="auto"/>
              <w:bottom w:val="single" w:sz="4" w:space="0" w:color="auto"/>
              <w:right w:val="single" w:sz="4" w:space="0" w:color="auto"/>
            </w:tcBorders>
            <w:hideMark/>
          </w:tcPr>
          <w:p w14:paraId="3C403EAB" w14:textId="77777777" w:rsidR="00095579" w:rsidRDefault="00095579" w:rsidP="008228BC">
            <w:pPr>
              <w:widowControl/>
              <w:jc w:val="both"/>
              <w:rPr>
                <w:rFonts w:ascii="Times New Roman" w:hAnsi="Times New Roman"/>
                <w:i/>
              </w:rPr>
            </w:pPr>
            <w:r>
              <w:rPr>
                <w:rFonts w:ascii="Times New Roman" w:hAnsi="Times New Roman"/>
                <w:i/>
              </w:rPr>
              <w:t>1.</w:t>
            </w:r>
            <w:r w:rsidRPr="00EA7141">
              <w:rPr>
                <w:rFonts w:ascii="Times New Roman" w:hAnsi="Times New Roman"/>
                <w:i/>
              </w:rPr>
              <w:t>Nimi, ametinimetus, e-post, telefon.</w:t>
            </w:r>
          </w:p>
          <w:p w14:paraId="07B0FDDE" w14:textId="77777777" w:rsidR="00095579" w:rsidRPr="00EA7141" w:rsidRDefault="00095579" w:rsidP="008228BC">
            <w:pPr>
              <w:widowControl/>
              <w:jc w:val="both"/>
              <w:rPr>
                <w:rFonts w:ascii="Times New Roman" w:hAnsi="Times New Roman"/>
                <w:i/>
              </w:rPr>
            </w:pPr>
          </w:p>
        </w:tc>
      </w:tr>
      <w:tr w:rsidR="00095579" w:rsidRPr="00EA7141" w14:paraId="6EF9B233" w14:textId="77777777" w:rsidTr="008228BC">
        <w:tc>
          <w:tcPr>
            <w:tcW w:w="2325" w:type="dxa"/>
            <w:tcBorders>
              <w:top w:val="single" w:sz="4" w:space="0" w:color="auto"/>
              <w:left w:val="single" w:sz="4" w:space="0" w:color="auto"/>
              <w:bottom w:val="single" w:sz="4" w:space="0" w:color="auto"/>
              <w:right w:val="single" w:sz="4" w:space="0" w:color="auto"/>
            </w:tcBorders>
          </w:tcPr>
          <w:p w14:paraId="439C8E15" w14:textId="0FD0A978" w:rsidR="00095579" w:rsidRPr="00420C1A" w:rsidRDefault="00095579" w:rsidP="008228BC">
            <w:pPr>
              <w:jc w:val="both"/>
              <w:rPr>
                <w:rFonts w:ascii="Times New Roman" w:hAnsi="Times New Roman"/>
              </w:rPr>
            </w:pPr>
            <w:r>
              <w:rPr>
                <w:rFonts w:ascii="Times New Roman" w:hAnsi="Times New Roman"/>
              </w:rPr>
              <w:t>Arvelduskonto number</w:t>
            </w:r>
            <w:r w:rsidR="0084207C">
              <w:rPr>
                <w:rFonts w:ascii="Times New Roman" w:hAnsi="Times New Roman"/>
              </w:rPr>
              <w:t xml:space="preserve"> kuhu arve tasutakse</w:t>
            </w:r>
          </w:p>
        </w:tc>
        <w:tc>
          <w:tcPr>
            <w:tcW w:w="7110" w:type="dxa"/>
            <w:tcBorders>
              <w:top w:val="single" w:sz="4" w:space="0" w:color="auto"/>
              <w:left w:val="single" w:sz="4" w:space="0" w:color="auto"/>
              <w:bottom w:val="single" w:sz="4" w:space="0" w:color="auto"/>
              <w:right w:val="single" w:sz="4" w:space="0" w:color="auto"/>
            </w:tcBorders>
          </w:tcPr>
          <w:p w14:paraId="6803A5BA" w14:textId="77777777" w:rsidR="00095579" w:rsidRDefault="00095579" w:rsidP="008228BC">
            <w:pPr>
              <w:widowControl/>
              <w:jc w:val="both"/>
              <w:rPr>
                <w:rFonts w:ascii="Times New Roman" w:hAnsi="Times New Roman"/>
                <w:i/>
              </w:rPr>
            </w:pPr>
          </w:p>
        </w:tc>
      </w:tr>
    </w:tbl>
    <w:p w14:paraId="7C36425D" w14:textId="77777777" w:rsidR="00095579" w:rsidRDefault="00095579" w:rsidP="00095579">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245"/>
      </w:tblGrid>
      <w:tr w:rsidR="00095579" w14:paraId="153FDF73" w14:textId="77777777" w:rsidTr="008228BC">
        <w:trPr>
          <w:jc w:val="center"/>
        </w:trPr>
        <w:tc>
          <w:tcPr>
            <w:tcW w:w="3115" w:type="dxa"/>
            <w:tcBorders>
              <w:top w:val="single" w:sz="4" w:space="0" w:color="auto"/>
              <w:left w:val="single" w:sz="4" w:space="0" w:color="auto"/>
            </w:tcBorders>
          </w:tcPr>
          <w:p w14:paraId="489CE318" w14:textId="77777777" w:rsidR="00095579" w:rsidRDefault="00095579" w:rsidP="008228BC">
            <w:pPr>
              <w:pStyle w:val="Other0"/>
            </w:pPr>
            <w:r>
              <w:rPr>
                <w:rStyle w:val="Other"/>
                <w:rFonts w:eastAsiaTheme="majorEastAsia"/>
                <w:b/>
                <w:bCs/>
              </w:rPr>
              <w:t>1. Lepingu sõlmimise alus</w:t>
            </w:r>
          </w:p>
        </w:tc>
        <w:tc>
          <w:tcPr>
            <w:tcW w:w="6245" w:type="dxa"/>
            <w:tcBorders>
              <w:top w:val="single" w:sz="4" w:space="0" w:color="auto"/>
              <w:left w:val="single" w:sz="4" w:space="0" w:color="auto"/>
              <w:right w:val="single" w:sz="4" w:space="0" w:color="auto"/>
            </w:tcBorders>
            <w:vAlign w:val="bottom"/>
          </w:tcPr>
          <w:p w14:paraId="45C0EC8E" w14:textId="7B6CEB35" w:rsidR="00095579" w:rsidRDefault="00095579" w:rsidP="008228BC">
            <w:pPr>
              <w:pStyle w:val="Other0"/>
              <w:jc w:val="both"/>
            </w:pPr>
            <w:r w:rsidRPr="00572C62">
              <w:rPr>
                <w:rStyle w:val="Other"/>
                <w:rFonts w:eastAsiaTheme="majorEastAsia"/>
              </w:rPr>
              <w:t>Riigihangete seaduse § 48 lõike 1 alusel teostatud avatud hankemenetlusega riigihanke "</w:t>
            </w:r>
            <w:proofErr w:type="spellStart"/>
            <w:r w:rsidR="005B6F12">
              <w:rPr>
                <w:bCs/>
              </w:rPr>
              <w:t>SonarQube</w:t>
            </w:r>
            <w:proofErr w:type="spellEnd"/>
            <w:r w:rsidR="005B6F12">
              <w:rPr>
                <w:bCs/>
              </w:rPr>
              <w:t xml:space="preserve"> litsentsid ja tootetugi</w:t>
            </w:r>
            <w:r w:rsidR="00633387">
              <w:rPr>
                <w:bCs/>
              </w:rPr>
              <w:t xml:space="preserve"> 2026</w:t>
            </w:r>
            <w:r w:rsidRPr="00572C62">
              <w:rPr>
                <w:rStyle w:val="Other"/>
                <w:rFonts w:eastAsiaTheme="majorEastAsia"/>
              </w:rPr>
              <w:t>" (viitenumber</w:t>
            </w:r>
            <w:r w:rsidR="00243C2C">
              <w:rPr>
                <w:rStyle w:val="Other"/>
                <w:rFonts w:eastAsiaTheme="majorEastAsia"/>
              </w:rPr>
              <w:t xml:space="preserve"> </w:t>
            </w:r>
            <w:r w:rsidR="00B1579D" w:rsidRPr="00B1579D">
              <w:rPr>
                <w:rFonts w:eastAsiaTheme="majorEastAsia"/>
                <w:lang w:bidi="et-EE"/>
              </w:rPr>
              <w:t>301781</w:t>
            </w:r>
            <w:r w:rsidRPr="00572C62">
              <w:rPr>
                <w:rStyle w:val="Other"/>
                <w:rFonts w:eastAsiaTheme="majorEastAsia"/>
              </w:rPr>
              <w:t xml:space="preserve">) alusdokumendid ning täitja poolt </w:t>
            </w:r>
            <w:r>
              <w:rPr>
                <w:rStyle w:val="Other"/>
                <w:rFonts w:eastAsiaTheme="majorEastAsia"/>
              </w:rPr>
              <w:t>….</w:t>
            </w:r>
            <w:r w:rsidRPr="00572C62">
              <w:rPr>
                <w:rStyle w:val="Other"/>
                <w:rFonts w:eastAsiaTheme="majorEastAsia"/>
              </w:rPr>
              <w:t xml:space="preserve"> esitatud pakkumus.</w:t>
            </w:r>
          </w:p>
        </w:tc>
      </w:tr>
      <w:tr w:rsidR="00095579" w14:paraId="1B4D2C35" w14:textId="77777777" w:rsidTr="008228BC">
        <w:trPr>
          <w:trHeight w:hRule="exact" w:val="902"/>
          <w:jc w:val="center"/>
        </w:trPr>
        <w:tc>
          <w:tcPr>
            <w:tcW w:w="3115" w:type="dxa"/>
            <w:tcBorders>
              <w:top w:val="single" w:sz="4" w:space="0" w:color="auto"/>
              <w:left w:val="single" w:sz="4" w:space="0" w:color="auto"/>
            </w:tcBorders>
          </w:tcPr>
          <w:p w14:paraId="4E6C0CC7" w14:textId="77777777" w:rsidR="00095579" w:rsidRDefault="00095579" w:rsidP="008228BC">
            <w:pPr>
              <w:pStyle w:val="Other0"/>
            </w:pPr>
            <w:r>
              <w:rPr>
                <w:rStyle w:val="Other"/>
                <w:rFonts w:eastAsiaTheme="majorEastAsia"/>
                <w:b/>
                <w:bCs/>
              </w:rPr>
              <w:t>2. Lepingu ese</w:t>
            </w:r>
          </w:p>
        </w:tc>
        <w:tc>
          <w:tcPr>
            <w:tcW w:w="6245" w:type="dxa"/>
            <w:tcBorders>
              <w:top w:val="single" w:sz="4" w:space="0" w:color="auto"/>
              <w:left w:val="single" w:sz="4" w:space="0" w:color="auto"/>
              <w:right w:val="single" w:sz="4" w:space="0" w:color="auto"/>
            </w:tcBorders>
            <w:vAlign w:val="center"/>
          </w:tcPr>
          <w:p w14:paraId="22330B82" w14:textId="5BCF2F68" w:rsidR="00095579" w:rsidRDefault="00095579" w:rsidP="008228BC">
            <w:pPr>
              <w:pStyle w:val="Other0"/>
              <w:jc w:val="both"/>
            </w:pPr>
            <w:r>
              <w:rPr>
                <w:rStyle w:val="Other"/>
                <w:rFonts w:eastAsiaTheme="majorEastAsia"/>
              </w:rPr>
              <w:t xml:space="preserve">Hankelepingu esemeks on </w:t>
            </w:r>
            <w:proofErr w:type="spellStart"/>
            <w:r w:rsidR="005B6F12">
              <w:rPr>
                <w:rStyle w:val="Other"/>
                <w:rFonts w:eastAsiaTheme="majorEastAsia"/>
              </w:rPr>
              <w:t>SonarQube</w:t>
            </w:r>
            <w:proofErr w:type="spellEnd"/>
            <w:r>
              <w:rPr>
                <w:rStyle w:val="Other"/>
                <w:rFonts w:eastAsiaTheme="majorEastAsia"/>
              </w:rPr>
              <w:t xml:space="preserve"> litsentsid koos tootetoega vastavalt lisale 2.</w:t>
            </w:r>
          </w:p>
        </w:tc>
      </w:tr>
      <w:tr w:rsidR="00095579" w14:paraId="03C97C24" w14:textId="77777777" w:rsidTr="008228BC">
        <w:trPr>
          <w:trHeight w:hRule="exact" w:val="355"/>
          <w:jc w:val="center"/>
        </w:trPr>
        <w:tc>
          <w:tcPr>
            <w:tcW w:w="3115" w:type="dxa"/>
            <w:tcBorders>
              <w:top w:val="single" w:sz="4" w:space="0" w:color="auto"/>
              <w:left w:val="single" w:sz="4" w:space="0" w:color="auto"/>
              <w:bottom w:val="single" w:sz="4" w:space="0" w:color="auto"/>
            </w:tcBorders>
            <w:vAlign w:val="center"/>
          </w:tcPr>
          <w:p w14:paraId="7AA5A6A5" w14:textId="77777777" w:rsidR="00095579" w:rsidRDefault="00095579" w:rsidP="008228BC">
            <w:pPr>
              <w:pStyle w:val="Other0"/>
            </w:pPr>
            <w:r>
              <w:rPr>
                <w:rStyle w:val="Other"/>
                <w:rFonts w:eastAsiaTheme="majorEastAsia"/>
                <w:b/>
                <w:bCs/>
              </w:rPr>
              <w:t>3. Rahastamisallikas</w:t>
            </w:r>
          </w:p>
        </w:tc>
        <w:tc>
          <w:tcPr>
            <w:tcW w:w="6245" w:type="dxa"/>
            <w:tcBorders>
              <w:top w:val="single" w:sz="4" w:space="0" w:color="auto"/>
              <w:left w:val="single" w:sz="4" w:space="0" w:color="auto"/>
              <w:bottom w:val="single" w:sz="4" w:space="0" w:color="auto"/>
              <w:right w:val="single" w:sz="4" w:space="0" w:color="auto"/>
            </w:tcBorders>
            <w:vAlign w:val="center"/>
          </w:tcPr>
          <w:p w14:paraId="3FF70D64" w14:textId="77777777" w:rsidR="00095579" w:rsidRDefault="00095579" w:rsidP="008228BC">
            <w:pPr>
              <w:pStyle w:val="Other0"/>
              <w:jc w:val="both"/>
            </w:pPr>
            <w:r>
              <w:rPr>
                <w:rStyle w:val="Other"/>
                <w:rFonts w:eastAsiaTheme="majorEastAsia"/>
              </w:rPr>
              <w:t>Riigieelarve.</w:t>
            </w:r>
          </w:p>
        </w:tc>
      </w:tr>
    </w:tbl>
    <w:p w14:paraId="63AC1724" w14:textId="77777777" w:rsidR="00095579" w:rsidRDefault="00095579" w:rsidP="00095579">
      <w:pPr>
        <w:spacing w:after="439" w:line="1" w:lineRule="exact"/>
      </w:pPr>
    </w:p>
    <w:p w14:paraId="5C00A468" w14:textId="77777777" w:rsidR="00095579" w:rsidRPr="00523169" w:rsidRDefault="00095579" w:rsidP="00095579">
      <w:pPr>
        <w:pStyle w:val="Heading10"/>
        <w:keepNext/>
        <w:keepLines/>
        <w:numPr>
          <w:ilvl w:val="0"/>
          <w:numId w:val="1"/>
        </w:numPr>
        <w:tabs>
          <w:tab w:val="left" w:pos="319"/>
        </w:tabs>
        <w:spacing w:after="200" w:line="233" w:lineRule="auto"/>
        <w:ind w:firstLine="0"/>
        <w:jc w:val="both"/>
        <w:rPr>
          <w:b w:val="0"/>
          <w:bCs w:val="0"/>
        </w:rPr>
      </w:pPr>
      <w:bookmarkStart w:id="0" w:name="bookmark0"/>
      <w:r w:rsidRPr="00523169">
        <w:rPr>
          <w:rStyle w:val="Heading1"/>
          <w:rFonts w:eastAsiaTheme="majorEastAsia"/>
          <w:b/>
          <w:bCs/>
        </w:rPr>
        <w:t>Lepingu täitmine, lepingu eseme üleandmine-vastuvõtmine</w:t>
      </w:r>
      <w:bookmarkEnd w:id="0"/>
    </w:p>
    <w:p w14:paraId="1FB00BF1" w14:textId="2948DBDB" w:rsidR="00095579" w:rsidRDefault="00095579" w:rsidP="00095579">
      <w:pPr>
        <w:pStyle w:val="Kehatekst"/>
        <w:numPr>
          <w:ilvl w:val="1"/>
          <w:numId w:val="1"/>
        </w:numPr>
        <w:tabs>
          <w:tab w:val="left" w:pos="796"/>
        </w:tabs>
        <w:ind w:left="720" w:hanging="420"/>
        <w:jc w:val="both"/>
      </w:pPr>
      <w:r w:rsidRPr="003F21F3">
        <w:rPr>
          <w:rStyle w:val="KehatekstMrk"/>
          <w:rFonts w:eastAsiaTheme="majorEastAsia"/>
        </w:rPr>
        <w:t xml:space="preserve">Hankelepingu alusel täitja annab üle ning tellija võtab vastu lepingu lisas 2 sätestatud </w:t>
      </w:r>
      <w:r w:rsidR="00553CBF">
        <w:rPr>
          <w:rStyle w:val="KehatekstMrk"/>
          <w:rFonts w:eastAsiaTheme="majorEastAsia"/>
        </w:rPr>
        <w:t xml:space="preserve">tehnilisele kirjeldusele </w:t>
      </w:r>
      <w:r w:rsidRPr="005B6F12">
        <w:rPr>
          <w:rStyle w:val="KehatekstMrk"/>
          <w:rFonts w:eastAsiaTheme="majorEastAsia"/>
        </w:rPr>
        <w:t xml:space="preserve"> vastava lepingu eseme. Litsentsi</w:t>
      </w:r>
      <w:r w:rsidR="004073C0">
        <w:rPr>
          <w:rStyle w:val="KehatekstMrk"/>
          <w:rFonts w:eastAsiaTheme="majorEastAsia"/>
        </w:rPr>
        <w:t>de</w:t>
      </w:r>
      <w:r w:rsidR="00B55230">
        <w:rPr>
          <w:rStyle w:val="KehatekstMrk"/>
          <w:rFonts w:eastAsiaTheme="majorEastAsia"/>
        </w:rPr>
        <w:t>le</w:t>
      </w:r>
      <w:r w:rsidR="005B6F12" w:rsidRPr="005B6F12">
        <w:rPr>
          <w:rStyle w:val="KehatekstMrk"/>
          <w:rFonts w:eastAsiaTheme="majorEastAsia"/>
        </w:rPr>
        <w:t xml:space="preserve"> kohaldatakse SMIT müügilepingute </w:t>
      </w:r>
      <w:r w:rsidR="005B6F12" w:rsidRPr="00F97519">
        <w:rPr>
          <w:rStyle w:val="KehatekstMrk"/>
          <w:rFonts w:eastAsiaTheme="majorEastAsia"/>
        </w:rPr>
        <w:t>üldtingimusi (lisa 1)</w:t>
      </w:r>
      <w:r w:rsidRPr="00F97519">
        <w:rPr>
          <w:rStyle w:val="KehatekstMrk"/>
          <w:rFonts w:eastAsiaTheme="majorEastAsia"/>
        </w:rPr>
        <w:t xml:space="preserve"> ja tootetoele</w:t>
      </w:r>
      <w:r w:rsidRPr="005B6F12">
        <w:rPr>
          <w:rStyle w:val="KehatekstMrk"/>
          <w:rFonts w:eastAsiaTheme="majorEastAsia"/>
        </w:rPr>
        <w:t xml:space="preserve"> SMIT käsunduslepingute üldtingimus</w:t>
      </w:r>
      <w:r w:rsidR="005B6F12" w:rsidRPr="005B6F12">
        <w:rPr>
          <w:rStyle w:val="KehatekstMrk"/>
          <w:rFonts w:eastAsiaTheme="majorEastAsia"/>
        </w:rPr>
        <w:t>i</w:t>
      </w:r>
      <w:r w:rsidRPr="005B6F12">
        <w:rPr>
          <w:rStyle w:val="KehatekstMrk"/>
          <w:rFonts w:eastAsiaTheme="majorEastAsia"/>
        </w:rPr>
        <w:t xml:space="preserve"> (lisa 1</w:t>
      </w:r>
      <w:r w:rsidR="005B6F12" w:rsidRPr="005B6F12">
        <w:rPr>
          <w:rStyle w:val="KehatekstMrk"/>
          <w:rFonts w:eastAsiaTheme="majorEastAsia"/>
        </w:rPr>
        <w:t>.1)</w:t>
      </w:r>
      <w:r w:rsidRPr="005B6F12">
        <w:rPr>
          <w:rStyle w:val="KehatekstMrk"/>
          <w:rFonts w:eastAsiaTheme="majorEastAsia"/>
        </w:rPr>
        <w:t>.</w:t>
      </w:r>
      <w:r>
        <w:rPr>
          <w:rStyle w:val="KehatekstMrk"/>
          <w:rFonts w:eastAsiaTheme="majorEastAsia"/>
        </w:rPr>
        <w:t xml:space="preserve"> </w:t>
      </w:r>
    </w:p>
    <w:p w14:paraId="3FC6CE14" w14:textId="47E08FA2" w:rsidR="00095579" w:rsidRDefault="00095579" w:rsidP="00095579">
      <w:pPr>
        <w:pStyle w:val="Kehatekst"/>
        <w:numPr>
          <w:ilvl w:val="1"/>
          <w:numId w:val="1"/>
        </w:numPr>
        <w:tabs>
          <w:tab w:val="left" w:pos="796"/>
        </w:tabs>
        <w:ind w:left="720" w:hanging="420"/>
        <w:jc w:val="both"/>
        <w:rPr>
          <w:rStyle w:val="KehatekstMrk"/>
          <w:rFonts w:eastAsiaTheme="majorEastAsia"/>
        </w:rPr>
      </w:pPr>
      <w:r>
        <w:t xml:space="preserve">Täitja </w:t>
      </w:r>
      <w:r w:rsidR="005B6F12">
        <w:t>aktiveerib litsentsid ja võimaldab tellijal</w:t>
      </w:r>
      <w:r w:rsidR="004073C0">
        <w:t xml:space="preserve"> lepingu eset</w:t>
      </w:r>
      <w:r w:rsidR="005B6F12">
        <w:t xml:space="preserve"> kasutada alates</w:t>
      </w:r>
      <w:r>
        <w:t xml:space="preserve"> lepingu sõlmimisele järgnevast päevast</w:t>
      </w:r>
      <w:r w:rsidR="005B6F12">
        <w:t>,</w:t>
      </w:r>
      <w:r>
        <w:t xml:space="preserve"> aga mitte varem kui 01.0</w:t>
      </w:r>
      <w:r w:rsidR="005B6F12">
        <w:t>1</w:t>
      </w:r>
      <w:r>
        <w:t>.2026</w:t>
      </w:r>
      <w:r w:rsidRPr="003F21F3">
        <w:rPr>
          <w:rStyle w:val="KehatekstMrk"/>
          <w:rFonts w:eastAsiaTheme="majorEastAsia"/>
        </w:rPr>
        <w:t>.</w:t>
      </w:r>
      <w:r>
        <w:rPr>
          <w:rStyle w:val="KehatekstMrk"/>
          <w:rFonts w:eastAsiaTheme="majorEastAsia"/>
        </w:rPr>
        <w:t xml:space="preserve"> Lepingu esemeks </w:t>
      </w:r>
      <w:r w:rsidR="005B6F12">
        <w:rPr>
          <w:rStyle w:val="KehatekstMrk"/>
          <w:rFonts w:eastAsiaTheme="majorEastAsia"/>
        </w:rPr>
        <w:t>olev</w:t>
      </w:r>
      <w:r w:rsidR="004073C0">
        <w:rPr>
          <w:rStyle w:val="KehatekstMrk"/>
          <w:rFonts w:eastAsiaTheme="majorEastAsia"/>
        </w:rPr>
        <w:t>ate litsentside kasutusõigus ja tootetoe osu</w:t>
      </w:r>
      <w:r w:rsidR="00C12C22">
        <w:rPr>
          <w:rStyle w:val="KehatekstMrk"/>
          <w:rFonts w:eastAsiaTheme="majorEastAsia"/>
        </w:rPr>
        <w:t>t</w:t>
      </w:r>
      <w:r w:rsidR="004073C0">
        <w:rPr>
          <w:rStyle w:val="KehatekstMrk"/>
          <w:rFonts w:eastAsiaTheme="majorEastAsia"/>
        </w:rPr>
        <w:t>amine</w:t>
      </w:r>
      <w:r>
        <w:rPr>
          <w:rStyle w:val="KehatekstMrk"/>
          <w:rFonts w:eastAsiaTheme="majorEastAsia"/>
        </w:rPr>
        <w:t xml:space="preserve"> kehtib </w:t>
      </w:r>
      <w:r w:rsidR="005B6F12">
        <w:rPr>
          <w:rStyle w:val="KehatekstMrk"/>
          <w:rFonts w:eastAsiaTheme="majorEastAsia"/>
        </w:rPr>
        <w:t>12</w:t>
      </w:r>
      <w:r>
        <w:rPr>
          <w:rStyle w:val="KehatekstMrk"/>
          <w:rFonts w:eastAsiaTheme="majorEastAsia"/>
        </w:rPr>
        <w:t xml:space="preserve"> kuud.</w:t>
      </w:r>
    </w:p>
    <w:p w14:paraId="48DCB194" w14:textId="34E91202" w:rsidR="00095579" w:rsidRPr="003F21F3" w:rsidRDefault="00095579" w:rsidP="00095579">
      <w:pPr>
        <w:pStyle w:val="Kehatekst"/>
        <w:numPr>
          <w:ilvl w:val="1"/>
          <w:numId w:val="1"/>
        </w:numPr>
        <w:tabs>
          <w:tab w:val="left" w:pos="796"/>
        </w:tabs>
        <w:ind w:left="720" w:hanging="420"/>
        <w:jc w:val="both"/>
      </w:pPr>
      <w:r w:rsidRPr="00D079DE">
        <w:t>Tellijal</w:t>
      </w:r>
      <w:r w:rsidRPr="003F21F3">
        <w:rPr>
          <w:rStyle w:val="KehatekstMrk"/>
          <w:rFonts w:eastAsiaTheme="majorEastAsia"/>
        </w:rPr>
        <w:t xml:space="preserve"> on õigus viie tööpäeva jooksul kontrollida </w:t>
      </w:r>
      <w:r w:rsidR="004073C0">
        <w:rPr>
          <w:rStyle w:val="KehatekstMrk"/>
          <w:rFonts w:eastAsiaTheme="majorEastAsia"/>
        </w:rPr>
        <w:t xml:space="preserve">lepingu eseme </w:t>
      </w:r>
      <w:r w:rsidRPr="003F21F3">
        <w:rPr>
          <w:rStyle w:val="KehatekstMrk"/>
          <w:rFonts w:eastAsiaTheme="majorEastAsia"/>
        </w:rPr>
        <w:t xml:space="preserve">vastavust </w:t>
      </w:r>
      <w:r w:rsidRPr="004073C0">
        <w:rPr>
          <w:rStyle w:val="KehatekstMrk"/>
          <w:rFonts w:eastAsiaTheme="majorEastAsia"/>
        </w:rPr>
        <w:t>lepingutingimustele. Lepingu eseme vastuvõtmine toimub arve heakskiitmise teel. Kui</w:t>
      </w:r>
      <w:r>
        <w:rPr>
          <w:rStyle w:val="KehatekstMrk"/>
          <w:rFonts w:eastAsiaTheme="majorEastAsia"/>
        </w:rPr>
        <w:t xml:space="preserve"> arve on suunatud maksmisele, loetakse, et arve on heakskiidetud ning lepingu ese on vastu võetud.</w:t>
      </w:r>
    </w:p>
    <w:p w14:paraId="55954C36" w14:textId="77777777" w:rsidR="00095579" w:rsidRPr="003F21F3" w:rsidRDefault="00095579" w:rsidP="00095579">
      <w:pPr>
        <w:pStyle w:val="Kehatekst"/>
        <w:numPr>
          <w:ilvl w:val="1"/>
          <w:numId w:val="1"/>
        </w:numPr>
        <w:tabs>
          <w:tab w:val="left" w:pos="796"/>
        </w:tabs>
        <w:ind w:left="720" w:hanging="420"/>
        <w:jc w:val="both"/>
      </w:pPr>
      <w:r w:rsidRPr="003F21F3">
        <w:rPr>
          <w:rStyle w:val="KehatekstMrk"/>
          <w:rFonts w:eastAsiaTheme="majorEastAsia"/>
        </w:rPr>
        <w:t xml:space="preserve">Juhul kui tellija avastab lepingu esemes vigu, puudusi või muu lepingutingimustele mittevastavuse, on tellijal õigus teavitada täitjat lepingu eseme lepingutingimustele </w:t>
      </w:r>
      <w:r w:rsidRPr="003F21F3">
        <w:rPr>
          <w:rStyle w:val="KehatekstMrk"/>
          <w:rFonts w:eastAsiaTheme="majorEastAsia"/>
        </w:rPr>
        <w:lastRenderedPageBreak/>
        <w:t>mittevastavusest ning määrata täitjale täiendav tähtaeg kestusega mitte rohkem kui 10 tööpäeva lepingu eseme lepingutingimustega vastavusse viimiseks.</w:t>
      </w:r>
    </w:p>
    <w:p w14:paraId="5B999E77" w14:textId="6E15B980" w:rsidR="00095579" w:rsidRPr="00F97519" w:rsidRDefault="00095579" w:rsidP="00095579">
      <w:pPr>
        <w:pStyle w:val="Kehatekst"/>
        <w:numPr>
          <w:ilvl w:val="1"/>
          <w:numId w:val="1"/>
        </w:numPr>
        <w:tabs>
          <w:tab w:val="left" w:pos="796"/>
        </w:tabs>
        <w:ind w:left="720" w:hanging="420"/>
        <w:jc w:val="both"/>
      </w:pPr>
      <w:r w:rsidRPr="003F21F3">
        <w:rPr>
          <w:rStyle w:val="KehatekstMrk"/>
          <w:rFonts w:eastAsiaTheme="majorEastAsia"/>
        </w:rPr>
        <w:t xml:space="preserve">Juhul, kui täitja ei tarni lepingu </w:t>
      </w:r>
      <w:r w:rsidRPr="004073C0">
        <w:rPr>
          <w:rStyle w:val="KehatekstMrk"/>
          <w:rFonts w:eastAsiaTheme="majorEastAsia"/>
        </w:rPr>
        <w:t>punktis 4.</w:t>
      </w:r>
      <w:r w:rsidR="004073C0" w:rsidRPr="004073C0">
        <w:rPr>
          <w:rStyle w:val="KehatekstMrk"/>
          <w:rFonts w:eastAsiaTheme="majorEastAsia"/>
        </w:rPr>
        <w:t>4</w:t>
      </w:r>
      <w:r w:rsidRPr="004073C0">
        <w:rPr>
          <w:rStyle w:val="KehatekstMrk"/>
          <w:rFonts w:eastAsiaTheme="majorEastAsia"/>
        </w:rPr>
        <w:t xml:space="preserve"> sätestatud</w:t>
      </w:r>
      <w:r w:rsidRPr="003F21F3">
        <w:rPr>
          <w:rStyle w:val="KehatekstMrk"/>
          <w:rFonts w:eastAsiaTheme="majorEastAsia"/>
        </w:rPr>
        <w:t xml:space="preserve"> täiendava tähtaja jooksul tellijale </w:t>
      </w:r>
      <w:r w:rsidRPr="004073C0">
        <w:rPr>
          <w:rStyle w:val="KehatekstMrk"/>
          <w:rFonts w:eastAsiaTheme="majorEastAsia"/>
        </w:rPr>
        <w:t xml:space="preserve">lepingu eset või kui tellija avastab selles jätkuvalt vigu, puudusi või muu lepingutingimustele mittevastavuse, on tellijal õigus leping </w:t>
      </w:r>
      <w:r w:rsidRPr="00F97519">
        <w:rPr>
          <w:rStyle w:val="KehatekstMrk"/>
          <w:rFonts w:eastAsiaTheme="majorEastAsia"/>
        </w:rPr>
        <w:t>täitjapoolse lepingu olulise rikkumise tõttu üles öelda.</w:t>
      </w:r>
    </w:p>
    <w:p w14:paraId="41790AD9" w14:textId="77777777" w:rsidR="004073C0" w:rsidRPr="00F97519" w:rsidRDefault="004073C0" w:rsidP="004073C0">
      <w:pPr>
        <w:pStyle w:val="Kehatekst"/>
        <w:numPr>
          <w:ilvl w:val="1"/>
          <w:numId w:val="1"/>
        </w:numPr>
        <w:tabs>
          <w:tab w:val="left" w:pos="786"/>
        </w:tabs>
        <w:ind w:left="720" w:hanging="420"/>
        <w:jc w:val="both"/>
      </w:pPr>
      <w:r w:rsidRPr="00F97519">
        <w:rPr>
          <w:rStyle w:val="KehatekstMrk"/>
          <w:rFonts w:eastAsiaTheme="majorEastAsia"/>
        </w:rPr>
        <w:t>Kui täitja ei teosta lepingutingimustele vastavat tarnet lepingus kokkulepitud tähtajal, on tellijal õigus kohaldada täitja suhtes leppetrahvi. Leppetrahvi tasumise kohustus algab algselt kokkulepitud tarne teostamise päevale järgnevast päevast ning kestab kuni lepingutingimustele vastava lepingu eseme üleandmiseni.</w:t>
      </w:r>
    </w:p>
    <w:p w14:paraId="5BA1F355" w14:textId="77777777" w:rsidR="004073C0" w:rsidRPr="00F97519" w:rsidRDefault="004073C0" w:rsidP="004073C0">
      <w:pPr>
        <w:pStyle w:val="Kehatekst"/>
        <w:numPr>
          <w:ilvl w:val="1"/>
          <w:numId w:val="1"/>
        </w:numPr>
        <w:tabs>
          <w:tab w:val="left" w:pos="786"/>
        </w:tabs>
        <w:ind w:left="720" w:hanging="420"/>
        <w:jc w:val="both"/>
      </w:pPr>
      <w:r w:rsidRPr="00F97519">
        <w:rPr>
          <w:rStyle w:val="KehatekstMrk"/>
          <w:rFonts w:eastAsiaTheme="majorEastAsia"/>
        </w:rPr>
        <w:t>Täitja on kohustatud tagama, et üle antav lepingu ese vastab litsentside tootja litsentseerimistingimustele. Täitja peab võimaldama tellijal toote õiguspärast kasutamist.</w:t>
      </w:r>
    </w:p>
    <w:p w14:paraId="6F00EF2C" w14:textId="77777777" w:rsidR="004073C0" w:rsidRPr="00F97519" w:rsidRDefault="004073C0" w:rsidP="00D079DE">
      <w:pPr>
        <w:pStyle w:val="Kehatekst"/>
        <w:numPr>
          <w:ilvl w:val="1"/>
          <w:numId w:val="1"/>
        </w:numPr>
        <w:tabs>
          <w:tab w:val="left" w:pos="786"/>
        </w:tabs>
        <w:ind w:left="720" w:hanging="420"/>
        <w:jc w:val="both"/>
      </w:pPr>
      <w:r w:rsidRPr="00F97519">
        <w:rPr>
          <w:rStyle w:val="KehatekstMrk"/>
          <w:rFonts w:eastAsiaTheme="majorEastAsia"/>
        </w:rPr>
        <w:t>Täitja annab lepingu esemega koos tellijale üle selle olemasolul lepingu eseme kasutamiseks ja haldamiseks vajaliku dokumentatsiooni.</w:t>
      </w:r>
    </w:p>
    <w:p w14:paraId="782AAF17" w14:textId="77777777" w:rsidR="004073C0" w:rsidRPr="00F97519" w:rsidRDefault="004073C0" w:rsidP="00D079DE">
      <w:pPr>
        <w:pStyle w:val="Kehatekst"/>
        <w:numPr>
          <w:ilvl w:val="1"/>
          <w:numId w:val="1"/>
        </w:numPr>
        <w:tabs>
          <w:tab w:val="left" w:pos="786"/>
        </w:tabs>
        <w:ind w:left="720" w:hanging="420"/>
        <w:jc w:val="both"/>
        <w:rPr>
          <w:rStyle w:val="KehatekstMrk"/>
          <w:strike/>
        </w:rPr>
      </w:pPr>
      <w:r w:rsidRPr="00F97519">
        <w:rPr>
          <w:rStyle w:val="KehatekstMrk"/>
          <w:rFonts w:eastAsiaTheme="majorEastAsia"/>
        </w:rPr>
        <w:t>Hankelepingu täitmine toimub hankelepingus sätestatud vastavate kontaktisikute poolt telefoni või e-posti teel esitatud teadete alusel. Telefoni teel edastatud teated tuleb kinnitada e-posti teel.</w:t>
      </w:r>
    </w:p>
    <w:p w14:paraId="4699187E" w14:textId="4442F83F" w:rsidR="00095579" w:rsidRPr="00F97519" w:rsidRDefault="00095579" w:rsidP="00D079DE">
      <w:pPr>
        <w:pStyle w:val="Kehatekst"/>
        <w:numPr>
          <w:ilvl w:val="1"/>
          <w:numId w:val="1"/>
        </w:numPr>
        <w:tabs>
          <w:tab w:val="left" w:pos="786"/>
        </w:tabs>
        <w:ind w:left="720" w:hanging="420"/>
        <w:jc w:val="both"/>
      </w:pPr>
      <w:r w:rsidRPr="00F97519">
        <w:rPr>
          <w:rStyle w:val="KehatekstMrk"/>
          <w:rFonts w:eastAsiaTheme="majorEastAsia"/>
        </w:rPr>
        <w:t>Tellijal on õigus igal ajal kontrollida lepingu eseme vastavust lepingule ning täitja kinnitustele ning nõuda täitjalt informatsiooni lepingu täitmise kohta</w:t>
      </w:r>
      <w:r w:rsidR="0084207C" w:rsidRPr="00F97519">
        <w:rPr>
          <w:rStyle w:val="KehatekstMrk"/>
          <w:rFonts w:eastAsiaTheme="majorEastAsia"/>
        </w:rPr>
        <w:t>.</w:t>
      </w:r>
    </w:p>
    <w:p w14:paraId="7A4D80DF" w14:textId="77777777" w:rsidR="00095579" w:rsidRPr="00F97519" w:rsidRDefault="00095579" w:rsidP="00095579">
      <w:pPr>
        <w:pStyle w:val="Kehatekst"/>
        <w:tabs>
          <w:tab w:val="left" w:pos="906"/>
        </w:tabs>
        <w:ind w:left="300"/>
        <w:jc w:val="both"/>
      </w:pPr>
    </w:p>
    <w:p w14:paraId="0A55E8D2" w14:textId="77777777" w:rsidR="00095579" w:rsidRPr="00F97519" w:rsidRDefault="00095579" w:rsidP="00095579">
      <w:pPr>
        <w:pStyle w:val="Heading10"/>
        <w:keepNext/>
        <w:keepLines/>
        <w:numPr>
          <w:ilvl w:val="0"/>
          <w:numId w:val="1"/>
        </w:numPr>
        <w:tabs>
          <w:tab w:val="left" w:pos="603"/>
        </w:tabs>
        <w:jc w:val="both"/>
        <w:rPr>
          <w:b w:val="0"/>
          <w:bCs w:val="0"/>
        </w:rPr>
      </w:pPr>
      <w:bookmarkStart w:id="1" w:name="bookmark2"/>
      <w:r w:rsidRPr="00F97519">
        <w:rPr>
          <w:rStyle w:val="Heading1"/>
          <w:rFonts w:eastAsiaTheme="majorEastAsia"/>
          <w:b/>
          <w:bCs/>
        </w:rPr>
        <w:t>Lepingu maksumus ja arveldamise kord</w:t>
      </w:r>
      <w:bookmarkEnd w:id="1"/>
    </w:p>
    <w:p w14:paraId="1CD172DE" w14:textId="77777777" w:rsidR="00095579" w:rsidRPr="00F97519" w:rsidRDefault="00095579" w:rsidP="00095579">
      <w:pPr>
        <w:pStyle w:val="Kehatekst"/>
        <w:numPr>
          <w:ilvl w:val="1"/>
          <w:numId w:val="1"/>
        </w:numPr>
        <w:tabs>
          <w:tab w:val="left" w:pos="776"/>
        </w:tabs>
        <w:ind w:left="720" w:hanging="420"/>
        <w:jc w:val="both"/>
        <w:rPr>
          <w:rStyle w:val="KehatekstMrk"/>
          <w:rFonts w:eastAsiaTheme="majorEastAsia"/>
        </w:rPr>
      </w:pPr>
      <w:r w:rsidRPr="00F97519">
        <w:rPr>
          <w:rStyle w:val="KehatekstMrk"/>
          <w:rFonts w:eastAsiaTheme="majorEastAsia"/>
        </w:rPr>
        <w:t>Lepingu kogumaksumus on …. eurot, lisandub käibemaks. Nimetatud hind on lõplik hind, mis kuulub tellija poolt lepingu eseme eest tasumisele, sisaldades ka intellektuaalomandi õiguse tasusid, kui need kohalduvad.</w:t>
      </w:r>
    </w:p>
    <w:p w14:paraId="2A30796E" w14:textId="77777777" w:rsidR="00095579" w:rsidRPr="00F97519" w:rsidRDefault="00095579" w:rsidP="00095579">
      <w:pPr>
        <w:pStyle w:val="Kehatekst"/>
        <w:numPr>
          <w:ilvl w:val="1"/>
          <w:numId w:val="1"/>
        </w:numPr>
        <w:tabs>
          <w:tab w:val="left" w:pos="776"/>
        </w:tabs>
        <w:ind w:left="720" w:hanging="420"/>
        <w:jc w:val="both"/>
      </w:pPr>
      <w:r w:rsidRPr="00F97519">
        <w:rPr>
          <w:rStyle w:val="KehatekstMrk"/>
          <w:rFonts w:eastAsiaTheme="majorEastAsia"/>
        </w:rPr>
        <w:t>Arveldamine toimub lisas 2 toodud lepingu esemete tarne järgselt ja täitja esitatud arve alusel. Lepingu eseme eest tasutakse ühes osas kogu perioodi eest ette.</w:t>
      </w:r>
    </w:p>
    <w:p w14:paraId="20AF2F14" w14:textId="77777777" w:rsidR="00095579" w:rsidRPr="00F97519" w:rsidRDefault="00095579" w:rsidP="00095579">
      <w:pPr>
        <w:pStyle w:val="Kehatekst"/>
        <w:numPr>
          <w:ilvl w:val="1"/>
          <w:numId w:val="1"/>
        </w:numPr>
        <w:tabs>
          <w:tab w:val="left" w:pos="776"/>
        </w:tabs>
        <w:ind w:left="720" w:hanging="420"/>
        <w:jc w:val="both"/>
      </w:pPr>
      <w:r w:rsidRPr="00F97519">
        <w:rPr>
          <w:rStyle w:val="KehatekstMrk"/>
          <w:rFonts w:eastAsiaTheme="majorEastAsia"/>
        </w:rPr>
        <w:t xml:space="preserve">Täitja saadab tellijale Eesti e-arve standardile vastava e-arve e-arvete operaatori kaudu. </w:t>
      </w:r>
      <w:proofErr w:type="spellStart"/>
      <w:r w:rsidRPr="00F97519">
        <w:rPr>
          <w:rStyle w:val="KehatekstMrk"/>
          <w:rFonts w:eastAsiaTheme="majorEastAsia"/>
          <w:lang w:val="en-US" w:bidi="en-US"/>
        </w:rPr>
        <w:t>E</w:t>
      </w:r>
      <w:r w:rsidRPr="00F97519">
        <w:rPr>
          <w:rStyle w:val="KehatekstMrk"/>
          <w:rFonts w:eastAsiaTheme="majorEastAsia"/>
          <w:lang w:val="en-US" w:bidi="en-US"/>
        </w:rPr>
        <w:softHyphen/>
        <w:t>arves</w:t>
      </w:r>
      <w:proofErr w:type="spellEnd"/>
      <w:r w:rsidRPr="00F97519">
        <w:rPr>
          <w:rStyle w:val="KehatekstMrk"/>
          <w:rFonts w:eastAsiaTheme="majorEastAsia"/>
        </w:rPr>
        <w:t xml:space="preserve"> peab lisaks standardis nimetatud andmetele olema toodud tellija kontaktisiku perekonnanimi ning riigihanke viitenumber, hankelepingu number ja hankelepingu osa 15-kohaline viitenumber. E-arve loetakse laekunuks selle laekumise kuupäevast.</w:t>
      </w:r>
    </w:p>
    <w:p w14:paraId="7BADDBFE" w14:textId="77777777" w:rsidR="00095579" w:rsidRPr="00F97519" w:rsidRDefault="00095579" w:rsidP="00243C2C">
      <w:pPr>
        <w:pStyle w:val="Kehatekst"/>
        <w:numPr>
          <w:ilvl w:val="1"/>
          <w:numId w:val="1"/>
        </w:numPr>
        <w:tabs>
          <w:tab w:val="left" w:pos="776"/>
        </w:tabs>
        <w:ind w:left="720" w:hanging="420"/>
        <w:jc w:val="both"/>
        <w:rPr>
          <w:rStyle w:val="KehatekstMrk"/>
        </w:rPr>
      </w:pPr>
      <w:r w:rsidRPr="00F97519">
        <w:rPr>
          <w:rStyle w:val="KehatekstMrk"/>
          <w:rFonts w:eastAsiaTheme="majorEastAsia"/>
        </w:rPr>
        <w:t>Arve maksetähtaeg on 21 kalendripäeva.</w:t>
      </w:r>
    </w:p>
    <w:p w14:paraId="49CDB834" w14:textId="77777777" w:rsidR="00243C2C" w:rsidRPr="00DB54C1" w:rsidRDefault="00243C2C" w:rsidP="0025049C">
      <w:pPr>
        <w:pStyle w:val="Kehatekst"/>
        <w:tabs>
          <w:tab w:val="left" w:pos="776"/>
        </w:tabs>
        <w:ind w:left="720"/>
        <w:jc w:val="both"/>
      </w:pPr>
    </w:p>
    <w:p w14:paraId="57DD9549" w14:textId="77777777" w:rsidR="00095579" w:rsidRPr="00523169" w:rsidRDefault="00095579" w:rsidP="00095579">
      <w:pPr>
        <w:pStyle w:val="Heading10"/>
        <w:keepNext/>
        <w:keepLines/>
        <w:numPr>
          <w:ilvl w:val="0"/>
          <w:numId w:val="1"/>
        </w:numPr>
        <w:tabs>
          <w:tab w:val="left" w:pos="603"/>
        </w:tabs>
        <w:jc w:val="both"/>
        <w:rPr>
          <w:b w:val="0"/>
          <w:bCs w:val="0"/>
        </w:rPr>
      </w:pPr>
      <w:bookmarkStart w:id="2" w:name="bookmark4"/>
      <w:r w:rsidRPr="00523169">
        <w:rPr>
          <w:rStyle w:val="Heading1"/>
          <w:rFonts w:eastAsiaTheme="majorEastAsia"/>
          <w:b/>
          <w:bCs/>
        </w:rPr>
        <w:t>Vastutus</w:t>
      </w:r>
      <w:bookmarkEnd w:id="2"/>
    </w:p>
    <w:p w14:paraId="6AB4EEA7" w14:textId="77777777" w:rsidR="00095579" w:rsidRPr="00DB54C1" w:rsidRDefault="00095579" w:rsidP="00095579">
      <w:pPr>
        <w:pStyle w:val="Kehatekst"/>
        <w:numPr>
          <w:ilvl w:val="1"/>
          <w:numId w:val="1"/>
        </w:numPr>
        <w:tabs>
          <w:tab w:val="left" w:pos="781"/>
        </w:tabs>
        <w:ind w:left="720" w:hanging="420"/>
        <w:jc w:val="both"/>
      </w:pPr>
      <w:r w:rsidRPr="00DB54C1">
        <w:rPr>
          <w:rStyle w:val="KehatekstMrk"/>
          <w:rFonts w:eastAsiaTheme="majorEastAsia"/>
        </w:rPr>
        <w:t>Täitja vastutab lepinguliste kohustuste rikkumisel. Kohustuse rikkumisel on teisel poolel õigus kasutada kõiki seadusest või lepingust tulenevaid õiguskaitsevahendeid vastavalt võlaõigusseadusele.</w:t>
      </w:r>
    </w:p>
    <w:p w14:paraId="793684A4" w14:textId="77777777" w:rsidR="00125898" w:rsidRPr="00DB54C1" w:rsidRDefault="00125898" w:rsidP="00D079DE">
      <w:pPr>
        <w:pStyle w:val="Kehatekst"/>
        <w:numPr>
          <w:ilvl w:val="1"/>
          <w:numId w:val="1"/>
        </w:numPr>
        <w:tabs>
          <w:tab w:val="left" w:pos="781"/>
        </w:tabs>
        <w:ind w:left="720" w:hanging="420"/>
        <w:jc w:val="both"/>
      </w:pPr>
      <w:r w:rsidRPr="00DB54C1">
        <w:rPr>
          <w:rStyle w:val="KehatekstMrk"/>
          <w:rFonts w:eastAsiaTheme="majorEastAsia"/>
        </w:rPr>
        <w:t>Tellijal on lisaks mujal lepingudokumentides sätestatule õigus nõuda täitjalt leppetrahvi järgmistel juhtudel:</w:t>
      </w:r>
    </w:p>
    <w:p w14:paraId="3B8B8BAD" w14:textId="77777777" w:rsidR="00125898" w:rsidRPr="00DB54C1" w:rsidRDefault="00125898" w:rsidP="00D079DE">
      <w:pPr>
        <w:pStyle w:val="Kehatekst"/>
        <w:numPr>
          <w:ilvl w:val="2"/>
          <w:numId w:val="1"/>
        </w:numPr>
        <w:tabs>
          <w:tab w:val="left" w:pos="1870"/>
        </w:tabs>
        <w:ind w:left="1880" w:hanging="720"/>
        <w:jc w:val="both"/>
      </w:pPr>
      <w:r w:rsidRPr="00DB54C1">
        <w:rPr>
          <w:rStyle w:val="KehatekstMrk"/>
          <w:rFonts w:eastAsiaTheme="majorEastAsia"/>
        </w:rPr>
        <w:t>kokku lepitud tarneaja (sh tootetoe aktiveerimine) ületamisel</w:t>
      </w:r>
      <w:r>
        <w:rPr>
          <w:rStyle w:val="KehatekstMrk"/>
          <w:rFonts w:eastAsiaTheme="majorEastAsia"/>
        </w:rPr>
        <w:t xml:space="preserve"> kuni</w:t>
      </w:r>
      <w:r w:rsidRPr="00DB54C1">
        <w:rPr>
          <w:rStyle w:val="KehatekstMrk"/>
          <w:rFonts w:eastAsiaTheme="majorEastAsia"/>
        </w:rPr>
        <w:t xml:space="preserve"> 0,2</w:t>
      </w:r>
      <w:r>
        <w:rPr>
          <w:rStyle w:val="KehatekstMrk"/>
          <w:rFonts w:eastAsiaTheme="majorEastAsia"/>
        </w:rPr>
        <w:t>5</w:t>
      </w:r>
      <w:r w:rsidRPr="00DB54C1">
        <w:rPr>
          <w:rStyle w:val="KehatekstMrk"/>
          <w:rFonts w:eastAsiaTheme="majorEastAsia"/>
        </w:rPr>
        <w:t>% hankelepingu kogumaksumusest iga viivitatud kalendripäeva eest iga vastava juhtumi korral, kuid mitte rohkem, kui hankelepingu kogumaksumus;</w:t>
      </w:r>
    </w:p>
    <w:p w14:paraId="737A4EAD" w14:textId="77777777" w:rsidR="00125898" w:rsidRPr="00DB54C1" w:rsidRDefault="00125898" w:rsidP="00D079DE">
      <w:pPr>
        <w:pStyle w:val="Kehatekst"/>
        <w:numPr>
          <w:ilvl w:val="2"/>
          <w:numId w:val="1"/>
        </w:numPr>
        <w:tabs>
          <w:tab w:val="left" w:pos="1870"/>
        </w:tabs>
        <w:ind w:left="1880" w:hanging="720"/>
        <w:jc w:val="both"/>
      </w:pPr>
      <w:r>
        <w:rPr>
          <w:rStyle w:val="KehatekstMrk"/>
          <w:rFonts w:eastAsiaTheme="majorEastAsia"/>
        </w:rPr>
        <w:t xml:space="preserve">lepingu </w:t>
      </w:r>
      <w:r w:rsidRPr="00DB54C1">
        <w:rPr>
          <w:rStyle w:val="KehatekstMrk"/>
          <w:rFonts w:eastAsiaTheme="majorEastAsia"/>
        </w:rPr>
        <w:t xml:space="preserve">olulise rikkumise korral </w:t>
      </w:r>
      <w:r>
        <w:rPr>
          <w:rStyle w:val="KehatekstMrk"/>
          <w:rFonts w:eastAsiaTheme="majorEastAsia"/>
        </w:rPr>
        <w:t>kuni 5% hankelepingu kogumaksumusest</w:t>
      </w:r>
      <w:r w:rsidRPr="00DB54C1">
        <w:rPr>
          <w:rStyle w:val="KehatekstMrk"/>
          <w:rFonts w:eastAsiaTheme="majorEastAsia"/>
        </w:rPr>
        <w:t xml:space="preserve"> iga rikkumise eest. Täitja poolse olulise hankelepingu rikkumise korral ei pea tellija määrama täitjale lepingu täitmiseks võlaõigusseaduse §-s 114 nimetatud täiendavat tähtaega ning tellijal on muu hulgas õigus hankeleping üles öelda või hankelepingust taganeda.</w:t>
      </w:r>
    </w:p>
    <w:p w14:paraId="34686C8B" w14:textId="77777777" w:rsidR="00125898" w:rsidRPr="00DB54C1" w:rsidRDefault="00125898" w:rsidP="00D079DE">
      <w:pPr>
        <w:pStyle w:val="Kehatekst"/>
        <w:numPr>
          <w:ilvl w:val="1"/>
          <w:numId w:val="1"/>
        </w:numPr>
        <w:tabs>
          <w:tab w:val="left" w:pos="781"/>
        </w:tabs>
        <w:ind w:left="720" w:hanging="420"/>
        <w:jc w:val="both"/>
      </w:pPr>
      <w:r>
        <w:rPr>
          <w:rStyle w:val="KehatekstMrk"/>
          <w:rFonts w:eastAsiaTheme="majorEastAsia"/>
        </w:rPr>
        <w:t>Nõuetekohase</w:t>
      </w:r>
      <w:r w:rsidRPr="00DB54C1">
        <w:rPr>
          <w:rStyle w:val="KehatekstMrk"/>
          <w:rFonts w:eastAsiaTheme="majorEastAsia"/>
        </w:rPr>
        <w:t xml:space="preserve"> esitatud arve tasumisega viivitamisel on täitjal õigus nõuda ja tellijal kohustus maksta viivist </w:t>
      </w:r>
      <w:r>
        <w:rPr>
          <w:rStyle w:val="KehatekstMrk"/>
          <w:rFonts w:eastAsiaTheme="majorEastAsia"/>
        </w:rPr>
        <w:t xml:space="preserve">kuni </w:t>
      </w:r>
      <w:r w:rsidRPr="00DB54C1">
        <w:rPr>
          <w:rStyle w:val="KehatekstMrk"/>
          <w:rFonts w:eastAsiaTheme="majorEastAsia"/>
        </w:rPr>
        <w:t>0,</w:t>
      </w:r>
      <w:r>
        <w:rPr>
          <w:rStyle w:val="KehatekstMrk"/>
          <w:rFonts w:eastAsiaTheme="majorEastAsia"/>
        </w:rPr>
        <w:t>1</w:t>
      </w:r>
      <w:r w:rsidRPr="00DB54C1">
        <w:rPr>
          <w:rStyle w:val="KehatekstMrk"/>
          <w:rFonts w:eastAsiaTheme="majorEastAsia"/>
        </w:rPr>
        <w:t>% tähtaegselt tasumata summalt iga viivitatud kalendripäeva eest, kuid mitte rohkem kui tähtaegselt tasumata summa.</w:t>
      </w:r>
      <w:r w:rsidRPr="00DF294A">
        <w:rPr>
          <w:rStyle w:val="KehatekstMrk"/>
          <w:rFonts w:eastAsiaTheme="majorEastAsia"/>
        </w:rPr>
        <w:t xml:space="preserve"> </w:t>
      </w:r>
    </w:p>
    <w:p w14:paraId="49CCE90F" w14:textId="77777777" w:rsidR="00095579" w:rsidRPr="00DB54C1" w:rsidRDefault="00095579" w:rsidP="00D079DE">
      <w:pPr>
        <w:pStyle w:val="Kehatekst"/>
        <w:numPr>
          <w:ilvl w:val="1"/>
          <w:numId w:val="1"/>
        </w:numPr>
        <w:tabs>
          <w:tab w:val="left" w:pos="781"/>
        </w:tabs>
        <w:ind w:left="720" w:hanging="420"/>
        <w:jc w:val="both"/>
      </w:pPr>
      <w:r w:rsidRPr="00DB54C1">
        <w:rPr>
          <w:rStyle w:val="KehatekstMrk"/>
          <w:rFonts w:eastAsiaTheme="majorEastAsia"/>
        </w:rPr>
        <w:t>Oluliseks rikkumiseks loevad pooled lisaks võlaõigusseaduses sätestatule muuhulgas:</w:t>
      </w:r>
    </w:p>
    <w:p w14:paraId="5515CB06" w14:textId="77777777" w:rsidR="00095579" w:rsidRPr="00DB54C1" w:rsidRDefault="00095579" w:rsidP="00095579">
      <w:pPr>
        <w:pStyle w:val="Kehatekst"/>
        <w:numPr>
          <w:ilvl w:val="2"/>
          <w:numId w:val="1"/>
        </w:numPr>
        <w:tabs>
          <w:tab w:val="left" w:pos="1870"/>
        </w:tabs>
        <w:ind w:left="1160"/>
        <w:jc w:val="both"/>
      </w:pPr>
      <w:r w:rsidRPr="00DB54C1">
        <w:rPr>
          <w:rStyle w:val="KehatekstMrk"/>
          <w:rFonts w:eastAsiaTheme="majorEastAsia"/>
        </w:rPr>
        <w:t>mõjuva põhjuseta lepingu täitmise katkestamine või täitmisele mitte asumine;</w:t>
      </w:r>
    </w:p>
    <w:p w14:paraId="401A9892" w14:textId="77777777" w:rsidR="00095579" w:rsidRPr="00DB54C1" w:rsidRDefault="00095579" w:rsidP="00095579">
      <w:pPr>
        <w:pStyle w:val="Kehatekst"/>
        <w:numPr>
          <w:ilvl w:val="2"/>
          <w:numId w:val="1"/>
        </w:numPr>
        <w:tabs>
          <w:tab w:val="left" w:pos="1870"/>
        </w:tabs>
        <w:ind w:left="1160"/>
        <w:jc w:val="both"/>
      </w:pPr>
      <w:r w:rsidRPr="00DB54C1">
        <w:rPr>
          <w:rStyle w:val="KehatekstMrk"/>
          <w:rFonts w:eastAsiaTheme="majorEastAsia"/>
        </w:rPr>
        <w:t>valeinfo esitamine;</w:t>
      </w:r>
    </w:p>
    <w:p w14:paraId="575BE863" w14:textId="5F0D903E" w:rsidR="00095579" w:rsidRPr="00DB54C1" w:rsidRDefault="00095579" w:rsidP="00095579">
      <w:pPr>
        <w:pStyle w:val="Kehatekst"/>
        <w:numPr>
          <w:ilvl w:val="2"/>
          <w:numId w:val="1"/>
        </w:numPr>
        <w:tabs>
          <w:tab w:val="left" w:pos="1870"/>
        </w:tabs>
        <w:ind w:left="1880" w:hanging="720"/>
        <w:jc w:val="both"/>
      </w:pPr>
      <w:r w:rsidRPr="00DB54C1">
        <w:rPr>
          <w:rStyle w:val="KehatekstMrk"/>
          <w:rFonts w:eastAsiaTheme="majorEastAsia"/>
        </w:rPr>
        <w:lastRenderedPageBreak/>
        <w:t>lepingu täitmiseks vajalike õiguste (sealhulgas load, litsentsid, intellektuaalse omandi õigused) puudumine;</w:t>
      </w:r>
    </w:p>
    <w:p w14:paraId="7BEF0583" w14:textId="77777777" w:rsidR="00095579" w:rsidRPr="00DB54C1" w:rsidRDefault="00095579" w:rsidP="00095579">
      <w:pPr>
        <w:pStyle w:val="Kehatekst"/>
        <w:numPr>
          <w:ilvl w:val="2"/>
          <w:numId w:val="1"/>
        </w:numPr>
        <w:tabs>
          <w:tab w:val="left" w:pos="1870"/>
        </w:tabs>
        <w:ind w:left="1160"/>
        <w:jc w:val="both"/>
      </w:pPr>
      <w:r w:rsidRPr="00DB54C1">
        <w:rPr>
          <w:rStyle w:val="KehatekstMrk"/>
          <w:rFonts w:eastAsiaTheme="majorEastAsia"/>
        </w:rPr>
        <w:t>intellektuaalse omandi õiguste ja nende kasutamise tingimuste rikkumine;</w:t>
      </w:r>
    </w:p>
    <w:p w14:paraId="1BB373D8" w14:textId="77777777" w:rsidR="00095579" w:rsidRPr="00DB54C1" w:rsidRDefault="00095579" w:rsidP="00095579">
      <w:pPr>
        <w:pStyle w:val="Kehatekst"/>
        <w:numPr>
          <w:ilvl w:val="2"/>
          <w:numId w:val="1"/>
        </w:numPr>
        <w:tabs>
          <w:tab w:val="left" w:pos="1870"/>
        </w:tabs>
        <w:ind w:left="1160"/>
        <w:jc w:val="both"/>
      </w:pPr>
      <w:r w:rsidRPr="00DB54C1">
        <w:rPr>
          <w:rStyle w:val="KehatekstMrk"/>
          <w:rFonts w:eastAsiaTheme="majorEastAsia"/>
        </w:rPr>
        <w:t>konfidentsiaalsuskohustuse rikkumine;</w:t>
      </w:r>
    </w:p>
    <w:p w14:paraId="4E6FE5AF" w14:textId="77777777" w:rsidR="00095579" w:rsidRPr="00DB54C1" w:rsidRDefault="00095579" w:rsidP="00095579">
      <w:pPr>
        <w:pStyle w:val="Kehatekst"/>
        <w:numPr>
          <w:ilvl w:val="2"/>
          <w:numId w:val="1"/>
        </w:numPr>
        <w:tabs>
          <w:tab w:val="left" w:pos="1870"/>
        </w:tabs>
        <w:ind w:left="1160"/>
        <w:jc w:val="both"/>
      </w:pPr>
      <w:r w:rsidRPr="00DB54C1">
        <w:rPr>
          <w:rStyle w:val="KehatekstMrk"/>
          <w:rFonts w:eastAsiaTheme="majorEastAsia"/>
        </w:rPr>
        <w:t>lepingujärgsete kohustuste korduvat (vähemalt kahel korral) täitmata jätmist;</w:t>
      </w:r>
    </w:p>
    <w:p w14:paraId="35CB379A" w14:textId="77777777" w:rsidR="00095579" w:rsidRPr="00DB54C1" w:rsidRDefault="00095579" w:rsidP="00095579">
      <w:pPr>
        <w:pStyle w:val="Kehatekst"/>
        <w:numPr>
          <w:ilvl w:val="2"/>
          <w:numId w:val="1"/>
        </w:numPr>
        <w:tabs>
          <w:tab w:val="left" w:pos="1870"/>
        </w:tabs>
        <w:ind w:left="1880" w:hanging="720"/>
        <w:jc w:val="both"/>
      </w:pPr>
      <w:r w:rsidRPr="00DB54C1">
        <w:rPr>
          <w:rStyle w:val="KehatekstMrk"/>
          <w:rFonts w:eastAsiaTheme="majorEastAsia"/>
        </w:rPr>
        <w:t>tähtaegselt lepingu täitmata jätmist selliselt, et tehnilises kirjelduses sätestatud eesmärgi täitmine ei ole enam tähtaegselt realistlik;</w:t>
      </w:r>
    </w:p>
    <w:p w14:paraId="5020DE4B" w14:textId="77777777" w:rsidR="00095579" w:rsidRPr="00DB54C1" w:rsidRDefault="00095579" w:rsidP="00095579">
      <w:pPr>
        <w:pStyle w:val="Kehatekst"/>
        <w:numPr>
          <w:ilvl w:val="2"/>
          <w:numId w:val="1"/>
        </w:numPr>
        <w:tabs>
          <w:tab w:val="left" w:pos="1870"/>
        </w:tabs>
        <w:ind w:left="1880" w:hanging="720"/>
        <w:jc w:val="both"/>
      </w:pPr>
      <w:r w:rsidRPr="00DB54C1">
        <w:rPr>
          <w:rStyle w:val="KehatekstMrk"/>
          <w:rFonts w:eastAsiaTheme="majorEastAsia"/>
        </w:rPr>
        <w:t>lepingujärgsete kohustuste üleandmine kolmandale isikule ilma tellija digiallkirjastatud nõusolekuta.</w:t>
      </w:r>
    </w:p>
    <w:p w14:paraId="077B04EC" w14:textId="4DA4C81A" w:rsidR="00243C2C" w:rsidRDefault="00095579" w:rsidP="0025049C">
      <w:pPr>
        <w:pStyle w:val="Kehatekst"/>
        <w:numPr>
          <w:ilvl w:val="1"/>
          <w:numId w:val="1"/>
        </w:numPr>
        <w:tabs>
          <w:tab w:val="left" w:pos="781"/>
        </w:tabs>
        <w:ind w:left="720" w:hanging="420"/>
        <w:jc w:val="both"/>
        <w:rPr>
          <w:rStyle w:val="KehatekstMrk"/>
        </w:rPr>
      </w:pPr>
      <w:r w:rsidRPr="00DB54C1">
        <w:rPr>
          <w:rStyle w:val="KehatekstMrk"/>
          <w:rFonts w:eastAsiaTheme="majorEastAsia"/>
        </w:rPr>
        <w:t>Juhul, kui käesolev hankeleping öeldakse üles täitja süü tõttu, kohustub täitja tagastama tellijale juba tasutud, kuid kasutamata jäänud teenuste perioodi eest tasutud summa.</w:t>
      </w:r>
    </w:p>
    <w:p w14:paraId="004C8D4A" w14:textId="77777777" w:rsidR="0025049C" w:rsidRPr="00DB54C1" w:rsidRDefault="0025049C" w:rsidP="0025049C">
      <w:pPr>
        <w:pStyle w:val="Kehatekst"/>
        <w:tabs>
          <w:tab w:val="left" w:pos="781"/>
        </w:tabs>
        <w:ind w:left="720"/>
        <w:jc w:val="both"/>
      </w:pPr>
    </w:p>
    <w:p w14:paraId="57FCCEFF" w14:textId="77777777" w:rsidR="00095579" w:rsidRPr="00523169" w:rsidRDefault="00095579" w:rsidP="00095579">
      <w:pPr>
        <w:pStyle w:val="Heading10"/>
        <w:keepNext/>
        <w:keepLines/>
        <w:numPr>
          <w:ilvl w:val="0"/>
          <w:numId w:val="1"/>
        </w:numPr>
        <w:tabs>
          <w:tab w:val="left" w:pos="658"/>
        </w:tabs>
        <w:spacing w:line="233" w:lineRule="auto"/>
        <w:jc w:val="both"/>
        <w:rPr>
          <w:b w:val="0"/>
          <w:bCs w:val="0"/>
        </w:rPr>
      </w:pPr>
      <w:bookmarkStart w:id="3" w:name="bookmark6"/>
      <w:r w:rsidRPr="00523169">
        <w:rPr>
          <w:rStyle w:val="Heading1"/>
          <w:rFonts w:eastAsiaTheme="majorEastAsia"/>
          <w:b/>
          <w:bCs/>
        </w:rPr>
        <w:t>Lepingu kehtivus</w:t>
      </w:r>
      <w:bookmarkEnd w:id="3"/>
    </w:p>
    <w:p w14:paraId="189DF324" w14:textId="77777777" w:rsidR="00095579" w:rsidRPr="00DB54C1" w:rsidRDefault="00095579" w:rsidP="00FE36D2">
      <w:pPr>
        <w:pStyle w:val="Kehatekst"/>
        <w:numPr>
          <w:ilvl w:val="1"/>
          <w:numId w:val="1"/>
        </w:numPr>
        <w:tabs>
          <w:tab w:val="left" w:pos="781"/>
        </w:tabs>
        <w:ind w:left="720" w:hanging="420"/>
        <w:jc w:val="both"/>
      </w:pPr>
      <w:r w:rsidRPr="00DB54C1">
        <w:rPr>
          <w:rStyle w:val="KehatekstMrk"/>
          <w:rFonts w:eastAsiaTheme="majorEastAsia"/>
        </w:rPr>
        <w:t>Leping jõustub alates hetkest, mil pooled on lepingu allkirjastanud.</w:t>
      </w:r>
    </w:p>
    <w:p w14:paraId="7E857222" w14:textId="77777777" w:rsidR="00095579" w:rsidRPr="004073C0" w:rsidRDefault="00095579" w:rsidP="00FE36D2">
      <w:pPr>
        <w:pStyle w:val="Kehatekst"/>
        <w:numPr>
          <w:ilvl w:val="1"/>
          <w:numId w:val="1"/>
        </w:numPr>
        <w:tabs>
          <w:tab w:val="left" w:pos="781"/>
        </w:tabs>
        <w:ind w:left="720" w:hanging="420"/>
        <w:jc w:val="both"/>
        <w:rPr>
          <w:rStyle w:val="KehatekstMrk"/>
          <w:rFonts w:eastAsiaTheme="majorEastAsia"/>
        </w:rPr>
      </w:pPr>
      <w:r w:rsidRPr="00DB54C1">
        <w:rPr>
          <w:rStyle w:val="KehatekstMrk"/>
          <w:rFonts w:eastAsiaTheme="majorEastAsia"/>
        </w:rPr>
        <w:t>Leping kehtib kuni lepinguliste kohustuste täitmiseni</w:t>
      </w:r>
      <w:r w:rsidRPr="00DB54C1">
        <w:rPr>
          <w:rStyle w:val="KehatekstMrk"/>
          <w:rFonts w:eastAsiaTheme="majorEastAsia"/>
          <w:b/>
          <w:bCs/>
        </w:rPr>
        <w:t xml:space="preserve">. </w:t>
      </w:r>
      <w:r w:rsidRPr="00DB54C1">
        <w:rPr>
          <w:rStyle w:val="KehatekstMrk"/>
          <w:rFonts w:eastAsiaTheme="majorEastAsia"/>
        </w:rPr>
        <w:t>Õigused ja kohustused, mis oma olemusest tulenevalt ei sõltu lepingu kehtivusest, jäävad kehtima peale lepingu lõppu.</w:t>
      </w:r>
    </w:p>
    <w:p w14:paraId="743651AF" w14:textId="0A351633" w:rsidR="004073C0" w:rsidRDefault="004073C0" w:rsidP="00243C2C">
      <w:pPr>
        <w:pStyle w:val="Kehatekst"/>
        <w:numPr>
          <w:ilvl w:val="1"/>
          <w:numId w:val="1"/>
        </w:numPr>
        <w:tabs>
          <w:tab w:val="left" w:pos="781"/>
        </w:tabs>
        <w:ind w:left="720" w:hanging="420"/>
        <w:jc w:val="both"/>
        <w:rPr>
          <w:rStyle w:val="KehatekstMrk"/>
          <w:rFonts w:eastAsiaTheme="majorEastAsia"/>
        </w:rPr>
      </w:pPr>
      <w:r w:rsidRPr="004073C0">
        <w:rPr>
          <w:rStyle w:val="KehatekstMrk"/>
          <w:rFonts w:eastAsiaTheme="majorEastAsia"/>
        </w:rPr>
        <w:t xml:space="preserve">Lepingu täitmisel peab täitja ja tema töötajad või lepingupartnerid järgima veebiaadressil </w:t>
      </w:r>
      <w:r w:rsidR="0084207C" w:rsidRPr="0084207C">
        <w:rPr>
          <w:rStyle w:val="KehatekstMrk"/>
          <w:rFonts w:eastAsiaTheme="majorEastAsia"/>
        </w:rPr>
        <w:t>https://www.smit.ee/et/hanked</w:t>
      </w:r>
      <w:r w:rsidR="0084207C">
        <w:rPr>
          <w:rStyle w:val="KehatekstMrk"/>
          <w:rFonts w:eastAsiaTheme="majorEastAsia"/>
        </w:rPr>
        <w:t xml:space="preserve"> </w:t>
      </w:r>
      <w:r w:rsidRPr="004073C0">
        <w:rPr>
          <w:rStyle w:val="KehatekstMrk"/>
          <w:rFonts w:eastAsiaTheme="majorEastAsia"/>
        </w:rPr>
        <w:t>avaldatud infoturbekorda.</w:t>
      </w:r>
    </w:p>
    <w:p w14:paraId="7B44C1A4" w14:textId="77777777" w:rsidR="00243C2C" w:rsidRPr="004073C0" w:rsidRDefault="00243C2C" w:rsidP="0025049C">
      <w:pPr>
        <w:pStyle w:val="Kehatekst"/>
        <w:tabs>
          <w:tab w:val="left" w:pos="781"/>
        </w:tabs>
        <w:ind w:left="720"/>
        <w:jc w:val="both"/>
        <w:rPr>
          <w:rStyle w:val="KehatekstMrk"/>
          <w:rFonts w:eastAsiaTheme="majorEastAsia"/>
        </w:rPr>
      </w:pPr>
    </w:p>
    <w:p w14:paraId="60787C2F" w14:textId="77777777" w:rsidR="00095579" w:rsidRPr="00523169" w:rsidRDefault="00095579" w:rsidP="00095579">
      <w:pPr>
        <w:pStyle w:val="Heading10"/>
        <w:keepNext/>
        <w:keepLines/>
        <w:numPr>
          <w:ilvl w:val="0"/>
          <w:numId w:val="1"/>
        </w:numPr>
        <w:tabs>
          <w:tab w:val="left" w:pos="658"/>
        </w:tabs>
        <w:jc w:val="both"/>
        <w:rPr>
          <w:b w:val="0"/>
          <w:bCs w:val="0"/>
        </w:rPr>
      </w:pPr>
      <w:bookmarkStart w:id="4" w:name="bookmark8"/>
      <w:r w:rsidRPr="00523169">
        <w:rPr>
          <w:rStyle w:val="Heading1"/>
          <w:rFonts w:eastAsiaTheme="majorEastAsia"/>
          <w:b/>
          <w:bCs/>
        </w:rPr>
        <w:t>Täitja kinnitused</w:t>
      </w:r>
      <w:bookmarkEnd w:id="4"/>
    </w:p>
    <w:p w14:paraId="0940FE67" w14:textId="77777777" w:rsidR="00095579" w:rsidRPr="00DB54C1" w:rsidRDefault="00095579" w:rsidP="00095579">
      <w:pPr>
        <w:pStyle w:val="Kehatekst"/>
        <w:numPr>
          <w:ilvl w:val="1"/>
          <w:numId w:val="1"/>
        </w:numPr>
        <w:tabs>
          <w:tab w:val="left" w:pos="831"/>
        </w:tabs>
        <w:ind w:firstLine="300"/>
        <w:jc w:val="both"/>
      </w:pPr>
      <w:r w:rsidRPr="00DB54C1">
        <w:rPr>
          <w:rStyle w:val="KehatekstMrk"/>
          <w:rFonts w:eastAsiaTheme="majorEastAsia"/>
        </w:rPr>
        <w:t>Täitja avaldab ja kinnitab, et:</w:t>
      </w:r>
    </w:p>
    <w:p w14:paraId="1D6C7B67" w14:textId="77777777" w:rsidR="00095579" w:rsidRPr="00DB54C1" w:rsidRDefault="00095579" w:rsidP="00D079DE">
      <w:pPr>
        <w:pStyle w:val="Kehatekst"/>
        <w:numPr>
          <w:ilvl w:val="2"/>
          <w:numId w:val="1"/>
        </w:numPr>
        <w:tabs>
          <w:tab w:val="left" w:pos="1870"/>
        </w:tabs>
        <w:ind w:left="1880" w:hanging="720"/>
        <w:jc w:val="both"/>
      </w:pPr>
      <w:r w:rsidRPr="00DB54C1">
        <w:rPr>
          <w:rStyle w:val="KehatekstMrk"/>
          <w:rFonts w:eastAsiaTheme="majorEastAsia"/>
        </w:rPr>
        <w:t>ta on lepinguga, selle lisadega ja riigihanke alusdokumentidega tutvunud ning mõistab täielikult enesele võetavate kohustuste sisu ja tagajärgi ning on nõus nendes toodud tingimustega;</w:t>
      </w:r>
    </w:p>
    <w:p w14:paraId="65C6EAEB" w14:textId="77777777" w:rsidR="00095579" w:rsidRDefault="00095579" w:rsidP="00D079DE">
      <w:pPr>
        <w:pStyle w:val="Kehatekst"/>
        <w:numPr>
          <w:ilvl w:val="2"/>
          <w:numId w:val="1"/>
        </w:numPr>
        <w:tabs>
          <w:tab w:val="left" w:pos="1870"/>
        </w:tabs>
        <w:ind w:left="1880" w:hanging="720"/>
        <w:jc w:val="both"/>
        <w:rPr>
          <w:rStyle w:val="KehatekstMrk"/>
          <w:rFonts w:eastAsiaTheme="majorEastAsia"/>
        </w:rPr>
      </w:pPr>
      <w:r w:rsidRPr="00DB54C1">
        <w:rPr>
          <w:rStyle w:val="KehatekstMrk"/>
          <w:rFonts w:eastAsiaTheme="majorEastAsia"/>
        </w:rPr>
        <w:t>lepingu täitmisega ei kahjustata kolmandate isikute õigusi ja huve ning puuduvad mistahes asjaolud, mis välistaksid tema õigusi sõlmida leping ja seda nõuetekohaselt täita</w:t>
      </w:r>
      <w:r>
        <w:rPr>
          <w:rStyle w:val="KehatekstMrk"/>
          <w:rFonts w:eastAsiaTheme="majorEastAsia"/>
        </w:rPr>
        <w:t xml:space="preserve">; </w:t>
      </w:r>
    </w:p>
    <w:p w14:paraId="1B2F24AC" w14:textId="0D751524" w:rsidR="00095579" w:rsidRDefault="00095579" w:rsidP="00D079DE">
      <w:pPr>
        <w:pStyle w:val="Kehatekst"/>
        <w:numPr>
          <w:ilvl w:val="2"/>
          <w:numId w:val="1"/>
        </w:numPr>
        <w:tabs>
          <w:tab w:val="left" w:pos="1870"/>
        </w:tabs>
        <w:ind w:left="1880" w:hanging="720"/>
        <w:jc w:val="both"/>
        <w:rPr>
          <w:rStyle w:val="KehatekstMrk"/>
          <w:rFonts w:eastAsiaTheme="majorEastAsia"/>
        </w:rPr>
      </w:pPr>
      <w:r>
        <w:rPr>
          <w:rStyle w:val="KehatekstMrk"/>
          <w:rFonts w:eastAsiaTheme="majorEastAsia"/>
        </w:rPr>
        <w:t>on tutvunud lepingu lahutamatuks osaks olevate SMIT</w:t>
      </w:r>
      <w:r w:rsidR="00DB5C39">
        <w:rPr>
          <w:rStyle w:val="KehatekstMrk"/>
          <w:rFonts w:eastAsiaTheme="majorEastAsia"/>
        </w:rPr>
        <w:t xml:space="preserve"> müügilepingute ja</w:t>
      </w:r>
      <w:r>
        <w:rPr>
          <w:rStyle w:val="KehatekstMrk"/>
          <w:rFonts w:eastAsiaTheme="majorEastAsia"/>
        </w:rPr>
        <w:t xml:space="preserve"> käsunduslepingute üldtingimustega</w:t>
      </w:r>
      <w:r w:rsidR="0084207C">
        <w:rPr>
          <w:rStyle w:val="KehatekstMrk"/>
          <w:rFonts w:eastAsiaTheme="majorEastAsia"/>
        </w:rPr>
        <w:t xml:space="preserve"> ning infoturbe korraga</w:t>
      </w:r>
      <w:r>
        <w:rPr>
          <w:rStyle w:val="KehatekstMrk"/>
          <w:rFonts w:eastAsiaTheme="majorEastAsia"/>
        </w:rPr>
        <w:t xml:space="preserve">; </w:t>
      </w:r>
    </w:p>
    <w:p w14:paraId="7A9E9227" w14:textId="77777777" w:rsidR="00095579" w:rsidRPr="00E523EA" w:rsidRDefault="00095579" w:rsidP="00D079DE">
      <w:pPr>
        <w:pStyle w:val="Kehatekst"/>
        <w:numPr>
          <w:ilvl w:val="2"/>
          <w:numId w:val="1"/>
        </w:numPr>
        <w:tabs>
          <w:tab w:val="left" w:pos="1870"/>
        </w:tabs>
        <w:ind w:left="1880" w:hanging="720"/>
        <w:jc w:val="both"/>
        <w:rPr>
          <w:rStyle w:val="KehatekstMrk"/>
          <w:rFonts w:eastAsiaTheme="majorEastAsia"/>
        </w:rPr>
      </w:pPr>
      <w:r w:rsidRPr="00E523EA">
        <w:rPr>
          <w:rStyle w:val="KehatekstMrk"/>
          <w:rFonts w:eastAsia="Courier New"/>
        </w:rPr>
        <w:t xml:space="preserve">esitab hankelepingu täitmise alustamise ajaks iga oma alltöövõtja nime, registrikoodi, </w:t>
      </w:r>
      <w:r w:rsidRPr="00D079DE">
        <w:rPr>
          <w:rStyle w:val="KehatekstMrk"/>
          <w:rFonts w:eastAsiaTheme="majorEastAsia"/>
        </w:rPr>
        <w:t>kontaktandmed</w:t>
      </w:r>
      <w:r w:rsidRPr="00E523EA">
        <w:rPr>
          <w:rStyle w:val="KehatekstMrk"/>
          <w:rFonts w:eastAsia="Courier New"/>
        </w:rPr>
        <w:t>, teabe nende seaduslike esindajate kohta ning alltöövõtulepingu nimetuse, kuupäeva, numbri ja summa. Samad andmed esitab täitja iga hankelepingu täitmisel lisanduva alltöövõtja kohta.</w:t>
      </w:r>
    </w:p>
    <w:p w14:paraId="3059E0CC" w14:textId="77777777" w:rsidR="00095579" w:rsidRPr="003320CA" w:rsidRDefault="00095579" w:rsidP="00095579">
      <w:pPr>
        <w:pStyle w:val="Kehatekst"/>
        <w:tabs>
          <w:tab w:val="left" w:pos="1009"/>
        </w:tabs>
        <w:ind w:left="300"/>
        <w:jc w:val="both"/>
        <w:rPr>
          <w:rStyle w:val="KehatekstMrk"/>
          <w:rFonts w:eastAsiaTheme="majorEastAsia"/>
        </w:rPr>
      </w:pPr>
    </w:p>
    <w:p w14:paraId="0311CB0E" w14:textId="77777777" w:rsidR="00095579" w:rsidRPr="00523169" w:rsidRDefault="00095579" w:rsidP="00095579">
      <w:pPr>
        <w:pStyle w:val="Heading10"/>
        <w:keepNext/>
        <w:keepLines/>
        <w:numPr>
          <w:ilvl w:val="0"/>
          <w:numId w:val="1"/>
        </w:numPr>
        <w:tabs>
          <w:tab w:val="left" w:pos="658"/>
        </w:tabs>
        <w:jc w:val="both"/>
        <w:rPr>
          <w:b w:val="0"/>
          <w:bCs w:val="0"/>
        </w:rPr>
      </w:pPr>
      <w:bookmarkStart w:id="5" w:name="bookmark10"/>
      <w:r w:rsidRPr="00523169">
        <w:rPr>
          <w:rStyle w:val="Heading1"/>
          <w:rFonts w:eastAsiaTheme="majorEastAsia"/>
          <w:b/>
          <w:bCs/>
        </w:rPr>
        <w:t>Lepingu lisad</w:t>
      </w:r>
      <w:bookmarkEnd w:id="5"/>
    </w:p>
    <w:p w14:paraId="496E9E24" w14:textId="203D47DC" w:rsidR="005B6F12" w:rsidRPr="005B6F12" w:rsidRDefault="00095579" w:rsidP="00095579">
      <w:pPr>
        <w:pStyle w:val="Kehatekst"/>
        <w:numPr>
          <w:ilvl w:val="1"/>
          <w:numId w:val="1"/>
        </w:numPr>
        <w:tabs>
          <w:tab w:val="left" w:pos="836"/>
        </w:tabs>
        <w:ind w:firstLine="300"/>
        <w:jc w:val="both"/>
        <w:rPr>
          <w:rStyle w:val="KehatekstMrk"/>
        </w:rPr>
      </w:pPr>
      <w:r w:rsidRPr="00DB54C1">
        <w:rPr>
          <w:rStyle w:val="KehatekstMrk"/>
          <w:rFonts w:eastAsiaTheme="majorEastAsia"/>
        </w:rPr>
        <w:t xml:space="preserve">Lisa 1 </w:t>
      </w:r>
      <w:r>
        <w:rPr>
          <w:rStyle w:val="KehatekstMrk"/>
          <w:rFonts w:eastAsiaTheme="majorEastAsia"/>
        </w:rPr>
        <w:t>–</w:t>
      </w:r>
      <w:r w:rsidRPr="00DB54C1">
        <w:rPr>
          <w:rStyle w:val="KehatekstMrk"/>
          <w:rFonts w:eastAsiaTheme="majorEastAsia"/>
        </w:rPr>
        <w:t xml:space="preserve"> </w:t>
      </w:r>
      <w:r w:rsidR="005B6F12">
        <w:rPr>
          <w:rStyle w:val="KehatekstMrk"/>
          <w:rFonts w:eastAsiaTheme="majorEastAsia"/>
        </w:rPr>
        <w:t>SMIT müügilepingute üldtingimused;</w:t>
      </w:r>
    </w:p>
    <w:p w14:paraId="5CA77C80" w14:textId="145BC86A" w:rsidR="00095579" w:rsidRPr="00DB54C1" w:rsidRDefault="005B6F12" w:rsidP="00095579">
      <w:pPr>
        <w:pStyle w:val="Kehatekst"/>
        <w:numPr>
          <w:ilvl w:val="1"/>
          <w:numId w:val="1"/>
        </w:numPr>
        <w:tabs>
          <w:tab w:val="left" w:pos="836"/>
        </w:tabs>
        <w:ind w:firstLine="300"/>
        <w:jc w:val="both"/>
      </w:pPr>
      <w:r>
        <w:rPr>
          <w:rStyle w:val="KehatekstMrk"/>
          <w:rFonts w:eastAsiaTheme="majorEastAsia"/>
        </w:rPr>
        <w:t xml:space="preserve">Lisa 1.1 – SMIT </w:t>
      </w:r>
      <w:r w:rsidR="00095579">
        <w:rPr>
          <w:rStyle w:val="KehatekstMrk"/>
          <w:rFonts w:eastAsiaTheme="majorEastAsia"/>
        </w:rPr>
        <w:t>käsunduslepingute</w:t>
      </w:r>
      <w:r w:rsidR="00095579" w:rsidRPr="00DB54C1">
        <w:rPr>
          <w:rStyle w:val="KehatekstMrk"/>
          <w:rFonts w:eastAsiaTheme="majorEastAsia"/>
        </w:rPr>
        <w:t xml:space="preserve"> üldtingimused;</w:t>
      </w:r>
    </w:p>
    <w:p w14:paraId="20601EFC" w14:textId="57502BAE" w:rsidR="00095579" w:rsidRPr="00DB54C1" w:rsidRDefault="00095579" w:rsidP="00095579">
      <w:pPr>
        <w:pStyle w:val="Kehatekst"/>
        <w:numPr>
          <w:ilvl w:val="1"/>
          <w:numId w:val="1"/>
        </w:numPr>
        <w:tabs>
          <w:tab w:val="left" w:pos="836"/>
        </w:tabs>
        <w:ind w:firstLine="300"/>
        <w:jc w:val="both"/>
      </w:pPr>
      <w:r w:rsidRPr="00DB54C1">
        <w:rPr>
          <w:rStyle w:val="KehatekstMrk"/>
          <w:rFonts w:eastAsiaTheme="majorEastAsia"/>
        </w:rPr>
        <w:t xml:space="preserve">Lisa 2 </w:t>
      </w:r>
      <w:r>
        <w:rPr>
          <w:rStyle w:val="KehatekstMrk"/>
          <w:rFonts w:eastAsiaTheme="majorEastAsia"/>
        </w:rPr>
        <w:t>–</w:t>
      </w:r>
      <w:r w:rsidRPr="00DB54C1">
        <w:rPr>
          <w:rStyle w:val="KehatekstMrk"/>
          <w:rFonts w:eastAsiaTheme="majorEastAsia"/>
        </w:rPr>
        <w:t xml:space="preserve"> </w:t>
      </w:r>
      <w:r w:rsidR="0090225D">
        <w:rPr>
          <w:rStyle w:val="KehatekstMrk"/>
          <w:rFonts w:eastAsiaTheme="majorEastAsia"/>
        </w:rPr>
        <w:t>T</w:t>
      </w:r>
      <w:r w:rsidRPr="00DB54C1">
        <w:rPr>
          <w:rStyle w:val="KehatekstMrk"/>
          <w:rFonts w:eastAsiaTheme="majorEastAsia"/>
        </w:rPr>
        <w:t>ellija tehniline kirjeldus;</w:t>
      </w:r>
    </w:p>
    <w:p w14:paraId="229163EB" w14:textId="76E7CEE9" w:rsidR="00095579" w:rsidRPr="00DB54C1" w:rsidRDefault="00095579" w:rsidP="00095579">
      <w:pPr>
        <w:pStyle w:val="Kehatekst"/>
        <w:numPr>
          <w:ilvl w:val="1"/>
          <w:numId w:val="1"/>
        </w:numPr>
        <w:tabs>
          <w:tab w:val="left" w:pos="836"/>
        </w:tabs>
        <w:ind w:firstLine="300"/>
        <w:jc w:val="both"/>
      </w:pPr>
      <w:r w:rsidRPr="00DB54C1">
        <w:rPr>
          <w:rStyle w:val="KehatekstMrk"/>
          <w:rFonts w:eastAsiaTheme="majorEastAsia"/>
        </w:rPr>
        <w:t xml:space="preserve">Lisa 3 </w:t>
      </w:r>
      <w:r>
        <w:rPr>
          <w:rStyle w:val="KehatekstMrk"/>
          <w:rFonts w:eastAsiaTheme="majorEastAsia"/>
        </w:rPr>
        <w:t>–</w:t>
      </w:r>
      <w:r w:rsidRPr="00DB54C1">
        <w:rPr>
          <w:rStyle w:val="KehatekstMrk"/>
          <w:rFonts w:eastAsiaTheme="majorEastAsia"/>
        </w:rPr>
        <w:t xml:space="preserve"> </w:t>
      </w:r>
      <w:r w:rsidR="0090225D">
        <w:rPr>
          <w:rStyle w:val="KehatekstMrk"/>
          <w:rFonts w:eastAsiaTheme="majorEastAsia"/>
        </w:rPr>
        <w:t>T</w:t>
      </w:r>
      <w:r w:rsidRPr="00DB54C1">
        <w:rPr>
          <w:rStyle w:val="KehatekstMrk"/>
          <w:rFonts w:eastAsiaTheme="majorEastAsia"/>
        </w:rPr>
        <w:t>äitja pakkumus</w:t>
      </w:r>
      <w:r>
        <w:rPr>
          <w:rStyle w:val="KehatekstMrk"/>
          <w:rFonts w:eastAsiaTheme="majorEastAsia"/>
        </w:rPr>
        <w:t>.</w:t>
      </w:r>
    </w:p>
    <w:p w14:paraId="3EB2F4F4" w14:textId="77777777" w:rsidR="00095579" w:rsidRDefault="00095579" w:rsidP="00095579">
      <w:pPr>
        <w:pStyle w:val="Kehatekst"/>
        <w:ind w:firstLine="300"/>
        <w:rPr>
          <w:rStyle w:val="KehatekstMrk"/>
          <w:rFonts w:eastAsiaTheme="majorEastAsia"/>
          <w:i/>
          <w:iCs/>
        </w:rPr>
      </w:pPr>
    </w:p>
    <w:p w14:paraId="726C1286" w14:textId="77777777" w:rsidR="00095579" w:rsidRPr="00DB5C39" w:rsidRDefault="00095579" w:rsidP="00095579">
      <w:pPr>
        <w:pStyle w:val="Kehatekst"/>
        <w:ind w:firstLine="300"/>
        <w:rPr>
          <w:i/>
          <w:iCs/>
        </w:rPr>
      </w:pPr>
      <w:r w:rsidRPr="00DB5C39">
        <w:rPr>
          <w:rStyle w:val="KehatekstMrk"/>
          <w:rFonts w:eastAsiaTheme="majorEastAsia"/>
          <w:i/>
          <w:iCs/>
        </w:rPr>
        <w:t>Leping on koostatud ja allkirjastatud digitaalselt</w:t>
      </w:r>
    </w:p>
    <w:p w14:paraId="3B4C0FE9" w14:textId="77777777" w:rsidR="00DD5DC3" w:rsidRDefault="00DD5DC3"/>
    <w:sectPr w:rsidR="00DD5DC3" w:rsidSect="00095579">
      <w:pgSz w:w="11900" w:h="16840"/>
      <w:pgMar w:top="1395" w:right="1253" w:bottom="1243" w:left="1100" w:header="967" w:footer="815"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84943"/>
    <w:multiLevelType w:val="multilevel"/>
    <w:tmpl w:val="51B87A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8E2A8D"/>
    <w:multiLevelType w:val="hybridMultilevel"/>
    <w:tmpl w:val="3E70D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2112205">
    <w:abstractNumId w:val="0"/>
  </w:num>
  <w:num w:numId="2" w16cid:durableId="159698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9"/>
    <w:rsid w:val="0007393F"/>
    <w:rsid w:val="00095579"/>
    <w:rsid w:val="00125898"/>
    <w:rsid w:val="001B464A"/>
    <w:rsid w:val="001F1FB5"/>
    <w:rsid w:val="00243C2C"/>
    <w:rsid w:val="0025049C"/>
    <w:rsid w:val="00297EBE"/>
    <w:rsid w:val="002E3A00"/>
    <w:rsid w:val="00385F51"/>
    <w:rsid w:val="004073C0"/>
    <w:rsid w:val="004661AF"/>
    <w:rsid w:val="004E396C"/>
    <w:rsid w:val="00523169"/>
    <w:rsid w:val="00553CBF"/>
    <w:rsid w:val="0058474F"/>
    <w:rsid w:val="005B6F12"/>
    <w:rsid w:val="005D6CF8"/>
    <w:rsid w:val="005E6FCD"/>
    <w:rsid w:val="005F7CAD"/>
    <w:rsid w:val="005F7D89"/>
    <w:rsid w:val="00613536"/>
    <w:rsid w:val="00633387"/>
    <w:rsid w:val="00676923"/>
    <w:rsid w:val="00730586"/>
    <w:rsid w:val="007A4BAD"/>
    <w:rsid w:val="007C1A14"/>
    <w:rsid w:val="00821360"/>
    <w:rsid w:val="0084207C"/>
    <w:rsid w:val="008B7EAB"/>
    <w:rsid w:val="0090225D"/>
    <w:rsid w:val="009377DA"/>
    <w:rsid w:val="00A12BFC"/>
    <w:rsid w:val="00A83436"/>
    <w:rsid w:val="00AA7E51"/>
    <w:rsid w:val="00B1579D"/>
    <w:rsid w:val="00B46AED"/>
    <w:rsid w:val="00B55230"/>
    <w:rsid w:val="00B566F4"/>
    <w:rsid w:val="00C12C22"/>
    <w:rsid w:val="00C7324F"/>
    <w:rsid w:val="00C96407"/>
    <w:rsid w:val="00D079DE"/>
    <w:rsid w:val="00D53866"/>
    <w:rsid w:val="00D90873"/>
    <w:rsid w:val="00DB5C39"/>
    <w:rsid w:val="00DD5DC3"/>
    <w:rsid w:val="00E2363E"/>
    <w:rsid w:val="00EB0509"/>
    <w:rsid w:val="00F97519"/>
    <w:rsid w:val="00FE36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1B74"/>
  <w15:chartTrackingRefBased/>
  <w15:docId w15:val="{8483E407-7A60-4F9F-97D2-57B696CA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5579"/>
    <w:pPr>
      <w:widowControl w:val="0"/>
      <w:spacing w:after="0" w:line="240" w:lineRule="auto"/>
    </w:pPr>
    <w:rPr>
      <w:rFonts w:ascii="Courier New" w:eastAsia="Courier New" w:hAnsi="Courier New" w:cs="Courier New"/>
      <w:color w:val="000000"/>
      <w:kern w:val="0"/>
      <w:lang w:eastAsia="et-EE" w:bidi="et-EE"/>
      <w14:ligatures w14:val="none"/>
    </w:rPr>
  </w:style>
  <w:style w:type="paragraph" w:styleId="Pealkiri1">
    <w:name w:val="heading 1"/>
    <w:basedOn w:val="Normaallaad"/>
    <w:next w:val="Normaallaad"/>
    <w:link w:val="Pealkiri1Mrk"/>
    <w:uiPriority w:val="9"/>
    <w:qFormat/>
    <w:rsid w:val="00095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95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9557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9557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9557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9557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9557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9557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95579"/>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9557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9557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9557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9557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9557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9557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9557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9557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9557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9557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9557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9557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9557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95579"/>
    <w:pPr>
      <w:spacing w:before="160"/>
      <w:jc w:val="center"/>
    </w:pPr>
    <w:rPr>
      <w:i/>
      <w:iCs/>
      <w:color w:val="404040" w:themeColor="text1" w:themeTint="BF"/>
    </w:rPr>
  </w:style>
  <w:style w:type="character" w:customStyle="1" w:styleId="TsitaatMrk">
    <w:name w:val="Tsitaat Märk"/>
    <w:basedOn w:val="Liguvaikefont"/>
    <w:link w:val="Tsitaat"/>
    <w:uiPriority w:val="29"/>
    <w:rsid w:val="00095579"/>
    <w:rPr>
      <w:i/>
      <w:iCs/>
      <w:color w:val="404040" w:themeColor="text1" w:themeTint="BF"/>
    </w:rPr>
  </w:style>
  <w:style w:type="paragraph" w:styleId="Loendilik">
    <w:name w:val="List Paragraph"/>
    <w:basedOn w:val="Normaallaad"/>
    <w:uiPriority w:val="34"/>
    <w:qFormat/>
    <w:rsid w:val="00095579"/>
    <w:pPr>
      <w:ind w:left="720"/>
      <w:contextualSpacing/>
    </w:pPr>
  </w:style>
  <w:style w:type="character" w:styleId="Selgeltmrgatavrhutus">
    <w:name w:val="Intense Emphasis"/>
    <w:basedOn w:val="Liguvaikefont"/>
    <w:uiPriority w:val="21"/>
    <w:qFormat/>
    <w:rsid w:val="00095579"/>
    <w:rPr>
      <w:i/>
      <w:iCs/>
      <w:color w:val="0F4761" w:themeColor="accent1" w:themeShade="BF"/>
    </w:rPr>
  </w:style>
  <w:style w:type="paragraph" w:styleId="Selgeltmrgatavtsitaat">
    <w:name w:val="Intense Quote"/>
    <w:basedOn w:val="Normaallaad"/>
    <w:next w:val="Normaallaad"/>
    <w:link w:val="SelgeltmrgatavtsitaatMrk"/>
    <w:uiPriority w:val="30"/>
    <w:qFormat/>
    <w:rsid w:val="00095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95579"/>
    <w:rPr>
      <w:i/>
      <w:iCs/>
      <w:color w:val="0F4761" w:themeColor="accent1" w:themeShade="BF"/>
    </w:rPr>
  </w:style>
  <w:style w:type="character" w:styleId="Selgeltmrgatavviide">
    <w:name w:val="Intense Reference"/>
    <w:basedOn w:val="Liguvaikefont"/>
    <w:uiPriority w:val="32"/>
    <w:qFormat/>
    <w:rsid w:val="00095579"/>
    <w:rPr>
      <w:b/>
      <w:bCs/>
      <w:smallCaps/>
      <w:color w:val="0F4761" w:themeColor="accent1" w:themeShade="BF"/>
      <w:spacing w:val="5"/>
    </w:rPr>
  </w:style>
  <w:style w:type="character" w:customStyle="1" w:styleId="Tablecaption">
    <w:name w:val="Table caption_"/>
    <w:basedOn w:val="Liguvaikefont"/>
    <w:link w:val="Tablecaption0"/>
    <w:rsid w:val="00095579"/>
    <w:rPr>
      <w:rFonts w:ascii="Times New Roman" w:eastAsia="Times New Roman" w:hAnsi="Times New Roman" w:cs="Times New Roman"/>
      <w:b/>
      <w:bCs/>
    </w:rPr>
  </w:style>
  <w:style w:type="character" w:customStyle="1" w:styleId="Other">
    <w:name w:val="Other_"/>
    <w:basedOn w:val="Liguvaikefont"/>
    <w:link w:val="Other0"/>
    <w:rsid w:val="00095579"/>
    <w:rPr>
      <w:rFonts w:ascii="Times New Roman" w:eastAsia="Times New Roman" w:hAnsi="Times New Roman" w:cs="Times New Roman"/>
    </w:rPr>
  </w:style>
  <w:style w:type="character" w:customStyle="1" w:styleId="Heading1">
    <w:name w:val="Heading #1_"/>
    <w:basedOn w:val="Liguvaikefont"/>
    <w:link w:val="Heading10"/>
    <w:rsid w:val="00095579"/>
    <w:rPr>
      <w:rFonts w:ascii="Times New Roman" w:eastAsia="Times New Roman" w:hAnsi="Times New Roman" w:cs="Times New Roman"/>
      <w:b/>
      <w:bCs/>
    </w:rPr>
  </w:style>
  <w:style w:type="character" w:customStyle="1" w:styleId="KehatekstMrk">
    <w:name w:val="Kehatekst Märk"/>
    <w:basedOn w:val="Liguvaikefont"/>
    <w:link w:val="Kehatekst"/>
    <w:rsid w:val="00095579"/>
    <w:rPr>
      <w:rFonts w:ascii="Times New Roman" w:eastAsia="Times New Roman" w:hAnsi="Times New Roman" w:cs="Times New Roman"/>
    </w:rPr>
  </w:style>
  <w:style w:type="paragraph" w:customStyle="1" w:styleId="Tablecaption0">
    <w:name w:val="Table caption"/>
    <w:basedOn w:val="Normaallaad"/>
    <w:link w:val="Tablecaption"/>
    <w:rsid w:val="00095579"/>
    <w:rPr>
      <w:rFonts w:ascii="Times New Roman" w:eastAsia="Times New Roman" w:hAnsi="Times New Roman" w:cs="Times New Roman"/>
      <w:b/>
      <w:bCs/>
      <w:color w:val="auto"/>
      <w:kern w:val="2"/>
      <w:lang w:eastAsia="en-US" w:bidi="ar-SA"/>
      <w14:ligatures w14:val="standardContextual"/>
    </w:rPr>
  </w:style>
  <w:style w:type="paragraph" w:customStyle="1" w:styleId="Other0">
    <w:name w:val="Other"/>
    <w:basedOn w:val="Normaallaad"/>
    <w:link w:val="Other"/>
    <w:rsid w:val="00095579"/>
    <w:rPr>
      <w:rFonts w:ascii="Times New Roman" w:eastAsia="Times New Roman" w:hAnsi="Times New Roman" w:cs="Times New Roman"/>
      <w:color w:val="auto"/>
      <w:kern w:val="2"/>
      <w:lang w:eastAsia="en-US" w:bidi="ar-SA"/>
      <w14:ligatures w14:val="standardContextual"/>
    </w:rPr>
  </w:style>
  <w:style w:type="paragraph" w:customStyle="1" w:styleId="Heading10">
    <w:name w:val="Heading #1"/>
    <w:basedOn w:val="Normaallaad"/>
    <w:link w:val="Heading1"/>
    <w:rsid w:val="00095579"/>
    <w:pPr>
      <w:ind w:firstLine="300"/>
      <w:outlineLvl w:val="0"/>
    </w:pPr>
    <w:rPr>
      <w:rFonts w:ascii="Times New Roman" w:eastAsia="Times New Roman" w:hAnsi="Times New Roman" w:cs="Times New Roman"/>
      <w:b/>
      <w:bCs/>
      <w:color w:val="auto"/>
      <w:kern w:val="2"/>
      <w:lang w:eastAsia="en-US" w:bidi="ar-SA"/>
      <w14:ligatures w14:val="standardContextual"/>
    </w:rPr>
  </w:style>
  <w:style w:type="paragraph" w:styleId="Kehatekst">
    <w:name w:val="Body Text"/>
    <w:basedOn w:val="Normaallaad"/>
    <w:link w:val="KehatekstMrk"/>
    <w:qFormat/>
    <w:rsid w:val="00095579"/>
    <w:rPr>
      <w:rFonts w:ascii="Times New Roman" w:eastAsia="Times New Roman" w:hAnsi="Times New Roman" w:cs="Times New Roman"/>
      <w:color w:val="auto"/>
      <w:kern w:val="2"/>
      <w:lang w:eastAsia="en-US" w:bidi="ar-SA"/>
      <w14:ligatures w14:val="standardContextual"/>
    </w:rPr>
  </w:style>
  <w:style w:type="character" w:customStyle="1" w:styleId="BodyTextChar1">
    <w:name w:val="Body Text Char1"/>
    <w:basedOn w:val="Liguvaikefont"/>
    <w:uiPriority w:val="99"/>
    <w:semiHidden/>
    <w:rsid w:val="00095579"/>
    <w:rPr>
      <w:rFonts w:ascii="Courier New" w:eastAsia="Courier New" w:hAnsi="Courier New" w:cs="Courier New"/>
      <w:color w:val="000000"/>
      <w:kern w:val="0"/>
      <w:lang w:eastAsia="et-EE" w:bidi="et-EE"/>
      <w14:ligatures w14:val="none"/>
    </w:rPr>
  </w:style>
  <w:style w:type="character" w:styleId="Hperlink">
    <w:name w:val="Hyperlink"/>
    <w:basedOn w:val="Liguvaikefont"/>
    <w:uiPriority w:val="99"/>
    <w:unhideWhenUsed/>
    <w:rsid w:val="00095579"/>
    <w:rPr>
      <w:color w:val="467886" w:themeColor="hyperlink"/>
      <w:u w:val="single"/>
    </w:rPr>
  </w:style>
  <w:style w:type="character" w:styleId="Kommentaariviide">
    <w:name w:val="annotation reference"/>
    <w:basedOn w:val="Liguvaikefont"/>
    <w:uiPriority w:val="99"/>
    <w:semiHidden/>
    <w:unhideWhenUsed/>
    <w:rsid w:val="00095579"/>
    <w:rPr>
      <w:sz w:val="16"/>
      <w:szCs w:val="16"/>
    </w:rPr>
  </w:style>
  <w:style w:type="paragraph" w:styleId="Kommentaaritekst">
    <w:name w:val="annotation text"/>
    <w:basedOn w:val="Normaallaad"/>
    <w:link w:val="KommentaaritekstMrk"/>
    <w:uiPriority w:val="99"/>
    <w:unhideWhenUsed/>
    <w:rsid w:val="00095579"/>
    <w:rPr>
      <w:sz w:val="20"/>
      <w:szCs w:val="20"/>
    </w:rPr>
  </w:style>
  <w:style w:type="character" w:customStyle="1" w:styleId="KommentaaritekstMrk">
    <w:name w:val="Kommentaari tekst Märk"/>
    <w:basedOn w:val="Liguvaikefont"/>
    <w:link w:val="Kommentaaritekst"/>
    <w:uiPriority w:val="99"/>
    <w:rsid w:val="00095579"/>
    <w:rPr>
      <w:rFonts w:ascii="Courier New" w:eastAsia="Courier New" w:hAnsi="Courier New" w:cs="Courier New"/>
      <w:color w:val="000000"/>
      <w:kern w:val="0"/>
      <w:sz w:val="20"/>
      <w:szCs w:val="20"/>
      <w:lang w:eastAsia="et-EE" w:bidi="et-EE"/>
      <w14:ligatures w14:val="none"/>
    </w:rPr>
  </w:style>
  <w:style w:type="character" w:styleId="Lahendamatamainimine">
    <w:name w:val="Unresolved Mention"/>
    <w:basedOn w:val="Liguvaikefont"/>
    <w:uiPriority w:val="99"/>
    <w:semiHidden/>
    <w:unhideWhenUsed/>
    <w:rsid w:val="00523169"/>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DB5C39"/>
    <w:rPr>
      <w:b/>
      <w:bCs/>
    </w:rPr>
  </w:style>
  <w:style w:type="character" w:customStyle="1" w:styleId="KommentaariteemaMrk">
    <w:name w:val="Kommentaari teema Märk"/>
    <w:basedOn w:val="KommentaaritekstMrk"/>
    <w:link w:val="Kommentaariteema"/>
    <w:uiPriority w:val="99"/>
    <w:semiHidden/>
    <w:rsid w:val="00DB5C39"/>
    <w:rPr>
      <w:rFonts w:ascii="Courier New" w:eastAsia="Courier New" w:hAnsi="Courier New" w:cs="Courier New"/>
      <w:b/>
      <w:bCs/>
      <w:color w:val="000000"/>
      <w:kern w:val="0"/>
      <w:sz w:val="20"/>
      <w:szCs w:val="20"/>
      <w:lang w:eastAsia="et-EE" w:bidi="et-EE"/>
      <w14:ligatures w14:val="none"/>
    </w:rPr>
  </w:style>
  <w:style w:type="paragraph" w:styleId="Redaktsioon">
    <w:name w:val="Revision"/>
    <w:hidden/>
    <w:uiPriority w:val="99"/>
    <w:semiHidden/>
    <w:rsid w:val="004073C0"/>
    <w:pPr>
      <w:spacing w:after="0" w:line="240" w:lineRule="auto"/>
    </w:pPr>
    <w:rPr>
      <w:rFonts w:ascii="Courier New" w:eastAsia="Courier New" w:hAnsi="Courier New" w:cs="Courier New"/>
      <w:color w:val="000000"/>
      <w:kern w:val="0"/>
      <w:lang w:eastAsia="et-EE" w:bidi="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rvo.keskyla@sm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jarvi@smit.ee" TargetMode="External"/><Relationship Id="rId5" Type="http://schemas.openxmlformats.org/officeDocument/2006/relationships/hyperlink" Target="mailto:Silver.metsatsirk@smi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1151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Sõber</dc:creator>
  <cp:keywords/>
  <dc:description/>
  <cp:lastModifiedBy>Lagle Sokmann</cp:lastModifiedBy>
  <cp:revision>41</cp:revision>
  <dcterms:created xsi:type="dcterms:W3CDTF">2025-10-20T12:54:00Z</dcterms:created>
  <dcterms:modified xsi:type="dcterms:W3CDTF">2025-11-04T09:51:00Z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2025-10-31T07:35:06Z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c1f89171-90dd-458b-8a03-4cdb62ff3fc7</vt:lpwstr>
  </property>
  <property fmtid="{D5CDD505-2E9C-101B-9397-08002B2CF9AE}" pid="8" name="MSIP_Label_0839a55c-41b7-435a-93b8-5b74de89c461_ContentBits">
    <vt:lpwstr>0</vt:lpwstr>
  </property>
</Properties>
</file>